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62F3C" w14:textId="600AECBF" w:rsidR="001C7D4D" w:rsidRPr="00BD720C" w:rsidRDefault="001C7D4D" w:rsidP="001C7D4D">
      <w:pPr>
        <w:pStyle w:val="30"/>
      </w:pPr>
      <w:r w:rsidRPr="00BD720C">
        <w:t>Research Plan: Cross-sectional Study on the Fungal Microbiota in Patients with Diarrhea-predominant Irritable Bowel Syndrome (IBS)</w:t>
      </w:r>
    </w:p>
    <w:p w14:paraId="648FD933" w14:textId="77777777" w:rsidR="001C7D4D" w:rsidRPr="00BD720C" w:rsidRDefault="001C7D4D" w:rsidP="001C7D4D">
      <w:pPr>
        <w:pStyle w:val="4"/>
        <w:rPr>
          <w:rFonts w:ascii="Times New Roman" w:hAnsi="Times New Roman" w:cs="Times New Roman"/>
        </w:rPr>
      </w:pPr>
    </w:p>
    <w:p w14:paraId="42EEBC3C" w14:textId="77777777" w:rsidR="001C7D4D" w:rsidRPr="00BD720C" w:rsidRDefault="001C7D4D" w:rsidP="001C7D4D">
      <w:pPr>
        <w:pStyle w:val="4"/>
        <w:rPr>
          <w:rFonts w:ascii="Times New Roman" w:hAnsi="Times New Roman" w:cs="Times New Roman"/>
        </w:rPr>
      </w:pPr>
      <w:r w:rsidRPr="00BD720C">
        <w:rPr>
          <w:rFonts w:ascii="Times New Roman" w:hAnsi="Times New Roman" w:cs="Times New Roman"/>
        </w:rPr>
        <w:t>Version: 2.0</w:t>
      </w:r>
    </w:p>
    <w:p w14:paraId="7479412C" w14:textId="6F3E451F" w:rsidR="001C7D4D" w:rsidRPr="00BD720C" w:rsidRDefault="001C7D4D" w:rsidP="001C7D4D">
      <w:pPr>
        <w:pStyle w:val="4"/>
        <w:rPr>
          <w:rFonts w:ascii="Times New Roman" w:eastAsia="宋体" w:hAnsi="Times New Roman" w:cs="Times New Roman"/>
        </w:rPr>
      </w:pPr>
      <w:r w:rsidRPr="00BD720C">
        <w:rPr>
          <w:rFonts w:ascii="Times New Roman" w:hAnsi="Times New Roman" w:cs="Times New Roman"/>
        </w:rPr>
        <w:t>Date: April 15, 2019</w:t>
      </w:r>
    </w:p>
    <w:p w14:paraId="6AC63196" w14:textId="77777777" w:rsidR="001C7D4D" w:rsidRPr="00BD720C" w:rsidRDefault="001C7D4D" w:rsidP="001C7D4D">
      <w:pPr>
        <w:pStyle w:val="a8"/>
        <w:rPr>
          <w:rFonts w:ascii="Times New Roman" w:eastAsiaTheme="minorEastAsia" w:hAnsi="Times New Roman"/>
        </w:rPr>
      </w:pPr>
      <w:r w:rsidRPr="00BD720C">
        <w:rPr>
          <w:rStyle w:val="ab"/>
          <w:rFonts w:ascii="Times New Roman" w:eastAsiaTheme="minorEastAsia" w:hAnsi="Times New Roman"/>
        </w:rPr>
        <w:t>Source of the Project:</w:t>
      </w:r>
      <w:r w:rsidRPr="00BD720C">
        <w:rPr>
          <w:rFonts w:ascii="Times New Roman" w:eastAsiaTheme="minorEastAsia" w:hAnsi="Times New Roman"/>
        </w:rPr>
        <w:br/>
        <w:t>Beijing University First Hospital, Young Clinical Research Project</w:t>
      </w:r>
    </w:p>
    <w:p w14:paraId="50694A64" w14:textId="77777777" w:rsidR="001C7D4D" w:rsidRPr="00BD720C" w:rsidRDefault="001C7D4D" w:rsidP="001C7D4D">
      <w:pPr>
        <w:pStyle w:val="a8"/>
        <w:rPr>
          <w:rFonts w:ascii="Times New Roman" w:eastAsiaTheme="minorEastAsia" w:hAnsi="Times New Roman"/>
        </w:rPr>
      </w:pPr>
      <w:r w:rsidRPr="00BD720C">
        <w:rPr>
          <w:rStyle w:val="ab"/>
          <w:rFonts w:ascii="Times New Roman" w:eastAsiaTheme="minorEastAsia" w:hAnsi="Times New Roman"/>
        </w:rPr>
        <w:t>Sponsor:</w:t>
      </w:r>
      <w:r w:rsidRPr="00BD720C">
        <w:rPr>
          <w:rFonts w:ascii="Times New Roman" w:eastAsiaTheme="minorEastAsia" w:hAnsi="Times New Roman"/>
        </w:rPr>
        <w:br/>
        <w:t>Gastroenterology Department, Beijing University First Hospital</w:t>
      </w:r>
    </w:p>
    <w:p w14:paraId="7257C4C1" w14:textId="77777777" w:rsidR="001C7D4D" w:rsidRPr="00BD720C" w:rsidRDefault="001C7D4D" w:rsidP="001C7D4D">
      <w:pPr>
        <w:pStyle w:val="a8"/>
        <w:rPr>
          <w:rFonts w:ascii="Times New Roman" w:eastAsiaTheme="minorEastAsia" w:hAnsi="Times New Roman"/>
        </w:rPr>
      </w:pPr>
      <w:r w:rsidRPr="00BD720C">
        <w:rPr>
          <w:rStyle w:val="ab"/>
          <w:rFonts w:ascii="Times New Roman" w:eastAsiaTheme="minorEastAsia" w:hAnsi="Times New Roman"/>
        </w:rPr>
        <w:t>Project Leader:</w:t>
      </w:r>
      <w:r w:rsidRPr="00BD720C">
        <w:rPr>
          <w:rFonts w:ascii="Times New Roman" w:eastAsiaTheme="minorEastAsia" w:hAnsi="Times New Roman"/>
        </w:rPr>
        <w:br/>
        <w:t>Chi Yan</w:t>
      </w:r>
    </w:p>
    <w:p w14:paraId="2C240591" w14:textId="77777777" w:rsidR="001C7D4D" w:rsidRPr="00BD720C" w:rsidRDefault="001C7D4D" w:rsidP="001C7D4D">
      <w:pPr>
        <w:pStyle w:val="a8"/>
        <w:rPr>
          <w:rFonts w:ascii="Times New Roman" w:eastAsiaTheme="minorEastAsia" w:hAnsi="Times New Roman"/>
        </w:rPr>
      </w:pPr>
      <w:r w:rsidRPr="00BD720C">
        <w:rPr>
          <w:rStyle w:val="ab"/>
          <w:rFonts w:ascii="Times New Roman" w:eastAsiaTheme="minorEastAsia" w:hAnsi="Times New Roman"/>
        </w:rPr>
        <w:t>Contact:</w:t>
      </w:r>
      <w:r w:rsidRPr="00BD720C">
        <w:rPr>
          <w:rFonts w:ascii="Times New Roman" w:eastAsiaTheme="minorEastAsia" w:hAnsi="Times New Roman"/>
        </w:rPr>
        <w:br/>
        <w:t>13522887252</w:t>
      </w:r>
    </w:p>
    <w:p w14:paraId="4415FBC6" w14:textId="1350CE40" w:rsidR="00F00450" w:rsidRPr="00BD720C" w:rsidRDefault="001C7D4D" w:rsidP="001C7D4D">
      <w:pPr>
        <w:pStyle w:val="a8"/>
        <w:rPr>
          <w:rFonts w:ascii="Times New Roman" w:eastAsiaTheme="minorEastAsia" w:hAnsi="Times New Roman"/>
        </w:rPr>
      </w:pPr>
      <w:r w:rsidRPr="00BD720C">
        <w:rPr>
          <w:rStyle w:val="ab"/>
          <w:rFonts w:ascii="Times New Roman" w:eastAsiaTheme="minorEastAsia" w:hAnsi="Times New Roman"/>
        </w:rPr>
        <w:t>Project Duration:</w:t>
      </w:r>
      <w:r w:rsidRPr="00BD720C">
        <w:rPr>
          <w:rFonts w:ascii="Times New Roman" w:eastAsiaTheme="minorEastAsia" w:hAnsi="Times New Roman"/>
        </w:rPr>
        <w:br/>
        <w:t>June 2019 to December 2019</w:t>
      </w:r>
    </w:p>
    <w:p w14:paraId="762C3B52" w14:textId="400822ED" w:rsidR="003102BA" w:rsidRPr="00BD720C" w:rsidRDefault="003102BA" w:rsidP="00876EB0">
      <w:pPr>
        <w:jc w:val="both"/>
      </w:pPr>
    </w:p>
    <w:p w14:paraId="1330AFFF" w14:textId="4DDC9191" w:rsidR="00F00450" w:rsidRPr="00BD720C" w:rsidRDefault="00F00450" w:rsidP="00876EB0">
      <w:pPr>
        <w:jc w:val="both"/>
      </w:pPr>
    </w:p>
    <w:p w14:paraId="511D954A" w14:textId="77777777" w:rsidR="001D16C9" w:rsidRDefault="001D16C9">
      <w:pPr>
        <w:rPr>
          <w:b/>
          <w:bCs/>
          <w:sz w:val="32"/>
          <w:szCs w:val="32"/>
        </w:rPr>
      </w:pPr>
      <w:r>
        <w:br w:type="page"/>
      </w:r>
    </w:p>
    <w:p w14:paraId="6543C008" w14:textId="722002F0" w:rsidR="001C7D4D" w:rsidRPr="00BD720C" w:rsidRDefault="001C7D4D" w:rsidP="001C7D4D">
      <w:pPr>
        <w:pStyle w:val="30"/>
      </w:pPr>
      <w:r w:rsidRPr="00BD720C">
        <w:lastRenderedPageBreak/>
        <w:t>1. Study Overview/Background/Rationale</w:t>
      </w:r>
    </w:p>
    <w:p w14:paraId="732AF2CE" w14:textId="77777777" w:rsidR="001C7D4D" w:rsidRPr="001D16C9" w:rsidRDefault="001C7D4D" w:rsidP="001C7D4D">
      <w:pPr>
        <w:pStyle w:val="a8"/>
        <w:rPr>
          <w:rFonts w:ascii="Times New Roman" w:hAnsi="Times New Roman"/>
        </w:rPr>
      </w:pPr>
      <w:r w:rsidRPr="001D16C9">
        <w:rPr>
          <w:rFonts w:ascii="Times New Roman" w:hAnsi="Times New Roman"/>
        </w:rPr>
        <w:t>Irritable Bowel Syndrome (IBS) is a functional bowel disorder characterized by abdominal pain, often accompanied by changes in bowel habits (frequency and/or stool consistency), without any organic lesions to explain these symptoms. Studies indicate that IBS prevalence in China is as high as 6.5%, with around 22.4% of patients seeking medical attention due to significant clinical symptoms.</w:t>
      </w:r>
    </w:p>
    <w:p w14:paraId="51B1CB5C" w14:textId="77777777" w:rsidR="001C7D4D" w:rsidRPr="001D16C9" w:rsidRDefault="001C7D4D" w:rsidP="001C7D4D">
      <w:pPr>
        <w:pStyle w:val="a8"/>
        <w:rPr>
          <w:rFonts w:ascii="Times New Roman" w:hAnsi="Times New Roman"/>
        </w:rPr>
      </w:pPr>
      <w:r w:rsidRPr="001D16C9">
        <w:rPr>
          <w:rFonts w:ascii="Times New Roman" w:hAnsi="Times New Roman"/>
        </w:rPr>
        <w:t>The exact mechanism of IBS remains unclear, and treatments are primarily symptomatic, offering limited effectiveness. Understanding the pathogenesis is essential for identifying therapeutic targets. Numerous studies have explored various factors, such as genetics, psychological abnormalities, gut infections, mucosal immune responses, brain-gut axis dysfunction, abnormal gastrointestinal motility, visceral hypersensitivity, food intolerances, and gut microbiota imbalances. Visceral hypersensitivity is currently considered a core pathological mechanism and biological marker of IBS.</w:t>
      </w:r>
    </w:p>
    <w:p w14:paraId="2CD37272" w14:textId="77777777" w:rsidR="001C7D4D" w:rsidRPr="001D16C9" w:rsidRDefault="001C7D4D" w:rsidP="001C7D4D">
      <w:pPr>
        <w:pStyle w:val="a8"/>
        <w:rPr>
          <w:rFonts w:ascii="Times New Roman" w:hAnsi="Times New Roman"/>
        </w:rPr>
      </w:pPr>
      <w:r w:rsidRPr="001D16C9">
        <w:rPr>
          <w:rFonts w:ascii="Times New Roman" w:hAnsi="Times New Roman"/>
        </w:rPr>
        <w:t>There is a close connection between the gut microecology, immune response, and visceral hypersensitivity. Recent studies have highlighted the role of gut fungi, an underexplored area compared to bacterial research. Previous research found that the antifungal immune protein Dectin-1 is elevated in patients with diarrhea-predominant IBS (D-IBS), suggesting the involvement of fungi in IBS pathogenesis. Foreign studies also demonstrated abnormal fecal fungi in IBS animal models with visceral hypersensitivity, providing more direct evidence. The relationship between gut fungi and mucosal immunity in D-IBS remains to be clarified.</w:t>
      </w:r>
    </w:p>
    <w:p w14:paraId="0F945A65" w14:textId="77777777" w:rsidR="001C7D4D" w:rsidRPr="00BD720C" w:rsidRDefault="001C7D4D" w:rsidP="001C7D4D">
      <w:pPr>
        <w:pStyle w:val="30"/>
      </w:pPr>
      <w:r w:rsidRPr="00BD720C">
        <w:t>2. Objectives</w:t>
      </w:r>
    </w:p>
    <w:p w14:paraId="495C8638" w14:textId="77777777" w:rsidR="001C7D4D" w:rsidRPr="001D16C9" w:rsidRDefault="001C7D4D" w:rsidP="001C7D4D">
      <w:pPr>
        <w:numPr>
          <w:ilvl w:val="0"/>
          <w:numId w:val="10"/>
        </w:numPr>
        <w:spacing w:before="100" w:beforeAutospacing="1" w:after="100" w:afterAutospacing="1"/>
        <w:rPr>
          <w:sz w:val="24"/>
          <w:szCs w:val="24"/>
        </w:rPr>
      </w:pPr>
      <w:r w:rsidRPr="001D16C9">
        <w:rPr>
          <w:sz w:val="24"/>
          <w:szCs w:val="24"/>
        </w:rPr>
        <w:t>Investigate the differences in gut mucosal fungal microbiota between D-IBS patients and healthy individuals.</w:t>
      </w:r>
    </w:p>
    <w:p w14:paraId="7D95EEA7" w14:textId="77777777" w:rsidR="001C7D4D" w:rsidRPr="001D16C9" w:rsidRDefault="001C7D4D" w:rsidP="001C7D4D">
      <w:pPr>
        <w:numPr>
          <w:ilvl w:val="0"/>
          <w:numId w:val="10"/>
        </w:numPr>
        <w:spacing w:before="100" w:beforeAutospacing="1" w:after="100" w:afterAutospacing="1"/>
        <w:rPr>
          <w:sz w:val="24"/>
          <w:szCs w:val="24"/>
        </w:rPr>
      </w:pPr>
      <w:r w:rsidRPr="001D16C9">
        <w:rPr>
          <w:sz w:val="24"/>
          <w:szCs w:val="24"/>
        </w:rPr>
        <w:t>Explore potential changes in the gut environment of IBS patients, revealing mechanisms that may contribute to IBS pathogenesis and identifying new therapeutic targets.</w:t>
      </w:r>
    </w:p>
    <w:p w14:paraId="558DFE57" w14:textId="77777777" w:rsidR="001C7D4D" w:rsidRPr="00BD720C" w:rsidRDefault="001C7D4D" w:rsidP="001C7D4D">
      <w:pPr>
        <w:pStyle w:val="30"/>
      </w:pPr>
      <w:r w:rsidRPr="00BD720C">
        <w:t>3. Methodology</w:t>
      </w:r>
    </w:p>
    <w:p w14:paraId="436343AB" w14:textId="77777777" w:rsidR="001C7D4D" w:rsidRPr="00BD720C" w:rsidRDefault="001C7D4D" w:rsidP="001C7D4D">
      <w:pPr>
        <w:pStyle w:val="4"/>
        <w:rPr>
          <w:rFonts w:ascii="Times New Roman" w:hAnsi="Times New Roman" w:cs="Times New Roman"/>
        </w:rPr>
      </w:pPr>
      <w:r w:rsidRPr="00BD720C">
        <w:rPr>
          <w:rFonts w:ascii="Times New Roman" w:hAnsi="Times New Roman" w:cs="Times New Roman"/>
        </w:rPr>
        <w:t>3.1 Study Design</w:t>
      </w:r>
    </w:p>
    <w:p w14:paraId="5227DED2" w14:textId="77777777" w:rsidR="001C7D4D" w:rsidRPr="00BD720C" w:rsidRDefault="001C7D4D" w:rsidP="001C7D4D">
      <w:pPr>
        <w:pStyle w:val="a8"/>
        <w:rPr>
          <w:rFonts w:ascii="Times New Roman" w:hAnsi="Times New Roman"/>
        </w:rPr>
      </w:pPr>
      <w:r w:rsidRPr="00BD720C">
        <w:rPr>
          <w:rFonts w:ascii="Times New Roman" w:hAnsi="Times New Roman"/>
        </w:rPr>
        <w:t>This is a cross-sectional study aimed at understanding the differences in the fungal microbiota composition of the gut mucosa between patients with diarrhea-</w:t>
      </w:r>
      <w:r w:rsidRPr="00BD720C">
        <w:rPr>
          <w:rFonts w:ascii="Times New Roman" w:hAnsi="Times New Roman"/>
        </w:rPr>
        <w:lastRenderedPageBreak/>
        <w:t>predominant IBS (D-IBS) and healthy individuals. The study seeks to provide preliminary evidence of the potential role of fungi in the pathogenesis of IBS.</w:t>
      </w:r>
    </w:p>
    <w:p w14:paraId="5E9C071D" w14:textId="77777777" w:rsidR="001C7D4D" w:rsidRPr="00BD720C" w:rsidRDefault="001C7D4D" w:rsidP="001C7D4D">
      <w:pPr>
        <w:pStyle w:val="4"/>
        <w:rPr>
          <w:rFonts w:ascii="Times New Roman" w:hAnsi="Times New Roman" w:cs="Times New Roman"/>
        </w:rPr>
      </w:pPr>
      <w:r w:rsidRPr="00BD720C">
        <w:rPr>
          <w:rFonts w:ascii="Times New Roman" w:hAnsi="Times New Roman" w:cs="Times New Roman"/>
        </w:rPr>
        <w:t>3.2 Data Collection Sites</w:t>
      </w:r>
    </w:p>
    <w:p w14:paraId="22C9C1CC" w14:textId="77777777" w:rsidR="001C7D4D" w:rsidRPr="00BD720C" w:rsidRDefault="001C7D4D" w:rsidP="001C7D4D">
      <w:pPr>
        <w:pStyle w:val="a8"/>
        <w:rPr>
          <w:rFonts w:ascii="Times New Roman" w:hAnsi="Times New Roman"/>
        </w:rPr>
      </w:pPr>
      <w:r w:rsidRPr="00BD720C">
        <w:rPr>
          <w:rFonts w:ascii="Times New Roman" w:hAnsi="Times New Roman"/>
        </w:rPr>
        <w:t>Data will be collected from outpatients with diarrhea and abdominal pain visiting the Gastroenterology Department and Endoscopy Center at Peking University First Hospital. The collection period is from June 2019 to December 2019.</w:t>
      </w:r>
    </w:p>
    <w:p w14:paraId="311C75EB" w14:textId="77777777" w:rsidR="001C7D4D" w:rsidRPr="00BD720C" w:rsidRDefault="001C7D4D" w:rsidP="001C7D4D">
      <w:pPr>
        <w:pStyle w:val="4"/>
        <w:rPr>
          <w:rFonts w:ascii="Times New Roman" w:hAnsi="Times New Roman" w:cs="Times New Roman"/>
        </w:rPr>
      </w:pPr>
      <w:r w:rsidRPr="00BD720C">
        <w:rPr>
          <w:rFonts w:ascii="Times New Roman" w:hAnsi="Times New Roman" w:cs="Times New Roman"/>
        </w:rPr>
        <w:t>3.3 Study Population</w:t>
      </w:r>
    </w:p>
    <w:p w14:paraId="2BE484CD" w14:textId="77777777" w:rsidR="001C7D4D" w:rsidRPr="00BD720C" w:rsidRDefault="001C7D4D" w:rsidP="001C7D4D">
      <w:pPr>
        <w:pStyle w:val="a8"/>
        <w:rPr>
          <w:rFonts w:ascii="Times New Roman" w:hAnsi="Times New Roman"/>
        </w:rPr>
      </w:pPr>
      <w:r w:rsidRPr="00BD720C">
        <w:rPr>
          <w:rStyle w:val="ab"/>
          <w:rFonts w:ascii="Times New Roman" w:hAnsi="Times New Roman"/>
        </w:rPr>
        <w:t>1. Inclusion Criteria for Study and Control Groups</w:t>
      </w:r>
    </w:p>
    <w:p w14:paraId="78C76A6F" w14:textId="77777777" w:rsidR="001C7D4D" w:rsidRPr="00BD720C" w:rsidRDefault="001C7D4D" w:rsidP="001C7D4D">
      <w:pPr>
        <w:pStyle w:val="a8"/>
        <w:numPr>
          <w:ilvl w:val="0"/>
          <w:numId w:val="11"/>
        </w:numPr>
        <w:rPr>
          <w:rFonts w:ascii="Times New Roman" w:hAnsi="Times New Roman"/>
        </w:rPr>
      </w:pPr>
      <w:r w:rsidRPr="00BD720C">
        <w:rPr>
          <w:rStyle w:val="ab"/>
          <w:rFonts w:ascii="Times New Roman" w:hAnsi="Times New Roman"/>
        </w:rPr>
        <w:t>Study Group:</w:t>
      </w:r>
    </w:p>
    <w:p w14:paraId="154B2CD9" w14:textId="77777777" w:rsidR="001C7D4D" w:rsidRPr="00BD720C" w:rsidRDefault="001C7D4D" w:rsidP="001C7D4D">
      <w:pPr>
        <w:numPr>
          <w:ilvl w:val="1"/>
          <w:numId w:val="11"/>
        </w:numPr>
        <w:spacing w:before="100" w:beforeAutospacing="1" w:after="100" w:afterAutospacing="1"/>
      </w:pPr>
      <w:r w:rsidRPr="00BD720C">
        <w:t>Aged 18-70, both male and female.</w:t>
      </w:r>
    </w:p>
    <w:p w14:paraId="00043284" w14:textId="77777777" w:rsidR="001C7D4D" w:rsidRPr="00BD720C" w:rsidRDefault="001C7D4D" w:rsidP="001C7D4D">
      <w:pPr>
        <w:numPr>
          <w:ilvl w:val="1"/>
          <w:numId w:val="11"/>
        </w:numPr>
        <w:spacing w:before="100" w:beforeAutospacing="1" w:after="100" w:afterAutospacing="1"/>
      </w:pPr>
      <w:r w:rsidRPr="00BD720C">
        <w:t>Diagnosed with diarrhea-predominant IBS according to Rome III diagnostic criteria.</w:t>
      </w:r>
    </w:p>
    <w:p w14:paraId="3C128F7A" w14:textId="77777777" w:rsidR="001C7D4D" w:rsidRPr="00BD720C" w:rsidRDefault="001C7D4D" w:rsidP="001C7D4D">
      <w:pPr>
        <w:numPr>
          <w:ilvl w:val="1"/>
          <w:numId w:val="11"/>
        </w:numPr>
        <w:spacing w:before="100" w:beforeAutospacing="1" w:after="100" w:afterAutospacing="1"/>
      </w:pPr>
      <w:r w:rsidRPr="00BD720C">
        <w:t>No history of gastrointestinal tumors, adenomatous polyps, or juvenile polyps.</w:t>
      </w:r>
    </w:p>
    <w:p w14:paraId="2F170487" w14:textId="77777777" w:rsidR="001C7D4D" w:rsidRPr="00BD720C" w:rsidRDefault="001C7D4D" w:rsidP="001C7D4D">
      <w:pPr>
        <w:numPr>
          <w:ilvl w:val="1"/>
          <w:numId w:val="11"/>
        </w:numPr>
        <w:spacing w:before="100" w:beforeAutospacing="1" w:after="100" w:afterAutospacing="1"/>
      </w:pPr>
      <w:r w:rsidRPr="00BD720C">
        <w:t>No severe cardiovascular, pulmonary, hepatic, renal, hematologic, endocrine, connective tissue, or autoimmune diseases.</w:t>
      </w:r>
    </w:p>
    <w:p w14:paraId="21158224" w14:textId="77777777" w:rsidR="001C7D4D" w:rsidRPr="00BD720C" w:rsidRDefault="001C7D4D" w:rsidP="001C7D4D">
      <w:pPr>
        <w:numPr>
          <w:ilvl w:val="1"/>
          <w:numId w:val="11"/>
        </w:numPr>
        <w:spacing w:before="100" w:beforeAutospacing="1" w:after="100" w:afterAutospacing="1"/>
      </w:pPr>
      <w:r w:rsidRPr="00BD720C">
        <w:t>No history of drug abuse or substance misuse.</w:t>
      </w:r>
    </w:p>
    <w:p w14:paraId="512E6369" w14:textId="77777777" w:rsidR="001C7D4D" w:rsidRPr="00BD720C" w:rsidRDefault="001C7D4D" w:rsidP="001C7D4D">
      <w:pPr>
        <w:numPr>
          <w:ilvl w:val="1"/>
          <w:numId w:val="11"/>
        </w:numPr>
        <w:spacing w:before="100" w:beforeAutospacing="1" w:after="100" w:afterAutospacing="1"/>
      </w:pPr>
      <w:r w:rsidRPr="00BD720C">
        <w:t>No use of prokinetic agents, probiotics (within the last week), proton pump inhibitors (within the last two weeks), or antibiotics (within the last month).</w:t>
      </w:r>
    </w:p>
    <w:p w14:paraId="7BA8A628" w14:textId="77777777" w:rsidR="001C7D4D" w:rsidRPr="00BD720C" w:rsidRDefault="001C7D4D" w:rsidP="001C7D4D">
      <w:pPr>
        <w:numPr>
          <w:ilvl w:val="1"/>
          <w:numId w:val="11"/>
        </w:numPr>
        <w:spacing w:before="100" w:beforeAutospacing="1" w:after="100" w:afterAutospacing="1"/>
      </w:pPr>
      <w:r w:rsidRPr="00BD720C">
        <w:t>No history of anorectal or colorectal surgery, and no clear pelvic floor dysfunction (such as incontinence or pelvic organ prolapse).</w:t>
      </w:r>
    </w:p>
    <w:p w14:paraId="0FFB45C5" w14:textId="77777777" w:rsidR="001C7D4D" w:rsidRPr="00BD720C" w:rsidRDefault="001C7D4D" w:rsidP="001C7D4D">
      <w:pPr>
        <w:numPr>
          <w:ilvl w:val="1"/>
          <w:numId w:val="11"/>
        </w:numPr>
        <w:spacing w:before="100" w:beforeAutospacing="1" w:after="100" w:afterAutospacing="1"/>
      </w:pPr>
      <w:r w:rsidRPr="00BD720C">
        <w:t>Willingness to participate and sign informed consent.</w:t>
      </w:r>
    </w:p>
    <w:p w14:paraId="35B04626" w14:textId="77777777" w:rsidR="001C7D4D" w:rsidRPr="00BD720C" w:rsidRDefault="001C7D4D" w:rsidP="001C7D4D">
      <w:pPr>
        <w:pStyle w:val="a8"/>
        <w:numPr>
          <w:ilvl w:val="0"/>
          <w:numId w:val="11"/>
        </w:numPr>
        <w:rPr>
          <w:rFonts w:ascii="Times New Roman" w:hAnsi="Times New Roman"/>
        </w:rPr>
      </w:pPr>
      <w:r w:rsidRPr="00BD720C">
        <w:rPr>
          <w:rStyle w:val="ab"/>
          <w:rFonts w:ascii="Times New Roman" w:hAnsi="Times New Roman"/>
        </w:rPr>
        <w:t>Control Group:</w:t>
      </w:r>
    </w:p>
    <w:p w14:paraId="467FE065" w14:textId="77777777" w:rsidR="001C7D4D" w:rsidRPr="00BD720C" w:rsidRDefault="001C7D4D" w:rsidP="001C7D4D">
      <w:pPr>
        <w:numPr>
          <w:ilvl w:val="1"/>
          <w:numId w:val="11"/>
        </w:numPr>
        <w:spacing w:before="100" w:beforeAutospacing="1" w:after="100" w:afterAutospacing="1"/>
      </w:pPr>
      <w:r w:rsidRPr="00BD720C">
        <w:t>Patients identified with small polyps (&lt;0.5 cm) during colonoscopy.</w:t>
      </w:r>
    </w:p>
    <w:p w14:paraId="32D04C32" w14:textId="77777777" w:rsidR="001C7D4D" w:rsidRPr="00BD720C" w:rsidRDefault="001C7D4D" w:rsidP="001C7D4D">
      <w:pPr>
        <w:numPr>
          <w:ilvl w:val="1"/>
          <w:numId w:val="11"/>
        </w:numPr>
        <w:spacing w:before="100" w:beforeAutospacing="1" w:after="100" w:afterAutospacing="1"/>
      </w:pPr>
      <w:r w:rsidRPr="00BD720C">
        <w:t>Age and gender matched with the study group.</w:t>
      </w:r>
    </w:p>
    <w:p w14:paraId="7C07FB45" w14:textId="77777777" w:rsidR="001C7D4D" w:rsidRPr="00BD720C" w:rsidRDefault="001C7D4D" w:rsidP="001C7D4D">
      <w:pPr>
        <w:numPr>
          <w:ilvl w:val="1"/>
          <w:numId w:val="11"/>
        </w:numPr>
        <w:spacing w:before="100" w:beforeAutospacing="1" w:after="100" w:afterAutospacing="1"/>
      </w:pPr>
      <w:r w:rsidRPr="00BD720C">
        <w:t>No severe cardiovascular, pulmonary, hepatic, renal, hematologic, endocrine, connective tissue, or autoimmune diseases.</w:t>
      </w:r>
    </w:p>
    <w:p w14:paraId="593F6F7D" w14:textId="77777777" w:rsidR="001C7D4D" w:rsidRPr="00BD720C" w:rsidRDefault="001C7D4D" w:rsidP="001C7D4D">
      <w:pPr>
        <w:numPr>
          <w:ilvl w:val="1"/>
          <w:numId w:val="11"/>
        </w:numPr>
        <w:spacing w:before="100" w:beforeAutospacing="1" w:after="100" w:afterAutospacing="1"/>
      </w:pPr>
      <w:r w:rsidRPr="00BD720C">
        <w:t>Same exclusion criteria regarding drug use and medical history as the study group.</w:t>
      </w:r>
    </w:p>
    <w:p w14:paraId="71A4FE20" w14:textId="77777777" w:rsidR="001C7D4D" w:rsidRPr="00BD720C" w:rsidRDefault="001C7D4D" w:rsidP="001C7D4D">
      <w:pPr>
        <w:pStyle w:val="a8"/>
        <w:rPr>
          <w:rFonts w:ascii="Times New Roman" w:hAnsi="Times New Roman"/>
        </w:rPr>
      </w:pPr>
      <w:r w:rsidRPr="00BD720C">
        <w:rPr>
          <w:rStyle w:val="ab"/>
          <w:rFonts w:ascii="Times New Roman" w:hAnsi="Times New Roman"/>
        </w:rPr>
        <w:t>2. Exclusion Criteria for Study and Control Groups</w:t>
      </w:r>
    </w:p>
    <w:p w14:paraId="61B60B28" w14:textId="77777777" w:rsidR="001C7D4D" w:rsidRPr="00BD720C" w:rsidRDefault="001C7D4D" w:rsidP="001C7D4D">
      <w:pPr>
        <w:pStyle w:val="a8"/>
        <w:numPr>
          <w:ilvl w:val="0"/>
          <w:numId w:val="12"/>
        </w:numPr>
        <w:rPr>
          <w:rFonts w:ascii="Times New Roman" w:hAnsi="Times New Roman"/>
        </w:rPr>
      </w:pPr>
      <w:r w:rsidRPr="00BD720C">
        <w:rPr>
          <w:rStyle w:val="ab"/>
          <w:rFonts w:ascii="Times New Roman" w:hAnsi="Times New Roman"/>
        </w:rPr>
        <w:t>Study Group:</w:t>
      </w:r>
    </w:p>
    <w:p w14:paraId="1FD6EF5A" w14:textId="77777777" w:rsidR="001C7D4D" w:rsidRPr="00BD720C" w:rsidRDefault="001C7D4D" w:rsidP="001C7D4D">
      <w:pPr>
        <w:numPr>
          <w:ilvl w:val="1"/>
          <w:numId w:val="12"/>
        </w:numPr>
        <w:spacing w:before="100" w:beforeAutospacing="1" w:after="100" w:afterAutospacing="1"/>
      </w:pPr>
      <w:r w:rsidRPr="00BD720C">
        <w:t>Age below 18 or above 70.</w:t>
      </w:r>
    </w:p>
    <w:p w14:paraId="13A8FFCD" w14:textId="77777777" w:rsidR="001C7D4D" w:rsidRPr="00BD720C" w:rsidRDefault="001C7D4D" w:rsidP="001C7D4D">
      <w:pPr>
        <w:numPr>
          <w:ilvl w:val="1"/>
          <w:numId w:val="12"/>
        </w:numPr>
        <w:spacing w:before="100" w:beforeAutospacing="1" w:after="100" w:afterAutospacing="1"/>
      </w:pPr>
      <w:r w:rsidRPr="00BD720C">
        <w:t>Not meeting Rome III criteria for diarrhea-predominant IBS.</w:t>
      </w:r>
    </w:p>
    <w:p w14:paraId="556A267A" w14:textId="77777777" w:rsidR="001C7D4D" w:rsidRPr="00BD720C" w:rsidRDefault="001C7D4D" w:rsidP="001C7D4D">
      <w:pPr>
        <w:numPr>
          <w:ilvl w:val="1"/>
          <w:numId w:val="12"/>
        </w:numPr>
        <w:spacing w:before="100" w:beforeAutospacing="1" w:after="100" w:afterAutospacing="1"/>
      </w:pPr>
      <w:r w:rsidRPr="00BD720C">
        <w:t>History of gastrointestinal tumors or adenomatous polyps.</w:t>
      </w:r>
    </w:p>
    <w:p w14:paraId="6452E957" w14:textId="77777777" w:rsidR="001C7D4D" w:rsidRPr="00BD720C" w:rsidRDefault="001C7D4D" w:rsidP="001C7D4D">
      <w:pPr>
        <w:numPr>
          <w:ilvl w:val="1"/>
          <w:numId w:val="12"/>
        </w:numPr>
        <w:spacing w:before="100" w:beforeAutospacing="1" w:after="100" w:afterAutospacing="1"/>
      </w:pPr>
      <w:r w:rsidRPr="00BD720C">
        <w:t>Coexistence of severe cardiovascular, pulmonary, hepatic, renal, hematologic, endocrine, connective tissue, or autoimmune diseases.</w:t>
      </w:r>
    </w:p>
    <w:p w14:paraId="5BCE9255" w14:textId="77777777" w:rsidR="001C7D4D" w:rsidRPr="00BD720C" w:rsidRDefault="001C7D4D" w:rsidP="001C7D4D">
      <w:pPr>
        <w:numPr>
          <w:ilvl w:val="1"/>
          <w:numId w:val="12"/>
        </w:numPr>
        <w:spacing w:before="100" w:beforeAutospacing="1" w:after="100" w:afterAutospacing="1"/>
      </w:pPr>
      <w:r w:rsidRPr="00BD720C">
        <w:t>History of drug or substance abuse.</w:t>
      </w:r>
    </w:p>
    <w:p w14:paraId="1ED0BE04" w14:textId="77777777" w:rsidR="001C7D4D" w:rsidRPr="00BD720C" w:rsidRDefault="001C7D4D" w:rsidP="001C7D4D">
      <w:pPr>
        <w:numPr>
          <w:ilvl w:val="1"/>
          <w:numId w:val="12"/>
        </w:numPr>
        <w:spacing w:before="100" w:beforeAutospacing="1" w:after="100" w:afterAutospacing="1"/>
      </w:pPr>
      <w:r w:rsidRPr="00BD720C">
        <w:t>Recent use of medications or history of gastrointestinal surgeries.</w:t>
      </w:r>
    </w:p>
    <w:p w14:paraId="491671F3" w14:textId="77777777" w:rsidR="001C7D4D" w:rsidRPr="00BD720C" w:rsidRDefault="001C7D4D" w:rsidP="001C7D4D">
      <w:pPr>
        <w:pStyle w:val="a8"/>
        <w:numPr>
          <w:ilvl w:val="0"/>
          <w:numId w:val="12"/>
        </w:numPr>
        <w:rPr>
          <w:rFonts w:ascii="Times New Roman" w:hAnsi="Times New Roman"/>
        </w:rPr>
      </w:pPr>
      <w:r w:rsidRPr="00BD720C">
        <w:rPr>
          <w:rStyle w:val="ab"/>
          <w:rFonts w:ascii="Times New Roman" w:hAnsi="Times New Roman"/>
        </w:rPr>
        <w:t>Control Group:</w:t>
      </w:r>
    </w:p>
    <w:p w14:paraId="7D1E5097" w14:textId="77777777" w:rsidR="001C7D4D" w:rsidRPr="00BD720C" w:rsidRDefault="001C7D4D" w:rsidP="001C7D4D">
      <w:pPr>
        <w:numPr>
          <w:ilvl w:val="1"/>
          <w:numId w:val="12"/>
        </w:numPr>
        <w:spacing w:before="100" w:beforeAutospacing="1" w:after="100" w:afterAutospacing="1"/>
      </w:pPr>
      <w:r w:rsidRPr="00BD720C">
        <w:lastRenderedPageBreak/>
        <w:t>Presence of large polyps (&gt;0.5 cm) during colonoscopy.</w:t>
      </w:r>
    </w:p>
    <w:p w14:paraId="0F069E7B" w14:textId="77777777" w:rsidR="001C7D4D" w:rsidRPr="00BD720C" w:rsidRDefault="001C7D4D" w:rsidP="001C7D4D">
      <w:pPr>
        <w:numPr>
          <w:ilvl w:val="1"/>
          <w:numId w:val="12"/>
        </w:numPr>
        <w:spacing w:before="100" w:beforeAutospacing="1" w:after="100" w:afterAutospacing="1"/>
      </w:pPr>
      <w:r w:rsidRPr="00BD720C">
        <w:t>Any structural gastrointestinal abnormalities discovered during colonoscopy.</w:t>
      </w:r>
    </w:p>
    <w:p w14:paraId="0BFA7E46" w14:textId="77777777" w:rsidR="001C7D4D" w:rsidRPr="00BD720C" w:rsidRDefault="001C7D4D" w:rsidP="001C7D4D">
      <w:pPr>
        <w:numPr>
          <w:ilvl w:val="1"/>
          <w:numId w:val="12"/>
        </w:numPr>
        <w:spacing w:before="100" w:beforeAutospacing="1" w:after="100" w:afterAutospacing="1"/>
      </w:pPr>
      <w:r w:rsidRPr="00BD720C">
        <w:t>Failure to match age and gender with the study group.</w:t>
      </w:r>
    </w:p>
    <w:p w14:paraId="23CAEFA4" w14:textId="6E3EB54F" w:rsidR="001C7D4D" w:rsidRPr="00BD720C" w:rsidRDefault="001C7D4D" w:rsidP="00BD720C">
      <w:pPr>
        <w:pStyle w:val="a8"/>
        <w:rPr>
          <w:rStyle w:val="ab"/>
          <w:rFonts w:ascii="Times New Roman" w:hAnsi="Times New Roman"/>
        </w:rPr>
      </w:pPr>
      <w:r w:rsidRPr="00BD720C">
        <w:rPr>
          <w:rStyle w:val="ab"/>
          <w:rFonts w:ascii="Times New Roman" w:hAnsi="Times New Roman"/>
        </w:rPr>
        <w:t>3. IBS Diagnostic Criteria</w:t>
      </w:r>
    </w:p>
    <w:p w14:paraId="3B582080" w14:textId="77777777" w:rsidR="001C7D4D" w:rsidRPr="00BD720C" w:rsidRDefault="001C7D4D" w:rsidP="001C7D4D">
      <w:pPr>
        <w:pStyle w:val="a8"/>
        <w:rPr>
          <w:rFonts w:ascii="Times New Roman" w:hAnsi="Times New Roman"/>
        </w:rPr>
      </w:pPr>
      <w:r w:rsidRPr="00BD720C">
        <w:rPr>
          <w:rFonts w:ascii="Times New Roman" w:hAnsi="Times New Roman"/>
        </w:rPr>
        <w:t xml:space="preserve">The inclusion criteria are based on the </w:t>
      </w:r>
      <w:r w:rsidRPr="00BD720C">
        <w:rPr>
          <w:rStyle w:val="ab"/>
          <w:rFonts w:ascii="Times New Roman" w:hAnsi="Times New Roman"/>
        </w:rPr>
        <w:t>Rome III Diagnostic Criteria</w:t>
      </w:r>
      <w:r w:rsidRPr="00BD720C">
        <w:rPr>
          <w:rFonts w:ascii="Times New Roman" w:hAnsi="Times New Roman"/>
        </w:rPr>
        <w:t>:</w:t>
      </w:r>
    </w:p>
    <w:p w14:paraId="3EE391A3" w14:textId="77777777" w:rsidR="001C7D4D" w:rsidRPr="00BD720C" w:rsidRDefault="001C7D4D" w:rsidP="001C7D4D">
      <w:pPr>
        <w:numPr>
          <w:ilvl w:val="0"/>
          <w:numId w:val="13"/>
        </w:numPr>
        <w:spacing w:before="100" w:beforeAutospacing="1" w:after="100" w:afterAutospacing="1"/>
      </w:pPr>
      <w:r w:rsidRPr="00BD720C">
        <w:t>Recurrent abdominal pain or discomfort for at least 3 days per month in the past 3 months, associated with two or more of the following:</w:t>
      </w:r>
    </w:p>
    <w:p w14:paraId="3B56EA77" w14:textId="77777777" w:rsidR="001C7D4D" w:rsidRPr="00BD720C" w:rsidRDefault="001C7D4D" w:rsidP="001C7D4D">
      <w:pPr>
        <w:numPr>
          <w:ilvl w:val="1"/>
          <w:numId w:val="13"/>
        </w:numPr>
        <w:spacing w:before="100" w:beforeAutospacing="1" w:after="100" w:afterAutospacing="1"/>
      </w:pPr>
      <w:r w:rsidRPr="00BD720C">
        <w:t>Improvement with defecation.</w:t>
      </w:r>
    </w:p>
    <w:p w14:paraId="106D9F51" w14:textId="77777777" w:rsidR="001C7D4D" w:rsidRPr="00BD720C" w:rsidRDefault="001C7D4D" w:rsidP="001C7D4D">
      <w:pPr>
        <w:numPr>
          <w:ilvl w:val="1"/>
          <w:numId w:val="13"/>
        </w:numPr>
        <w:spacing w:before="100" w:beforeAutospacing="1" w:after="100" w:afterAutospacing="1"/>
      </w:pPr>
      <w:r w:rsidRPr="00BD720C">
        <w:t>Onset associated with a change in stool frequency.</w:t>
      </w:r>
    </w:p>
    <w:p w14:paraId="58858FDC" w14:textId="77777777" w:rsidR="001C7D4D" w:rsidRPr="00BD720C" w:rsidRDefault="001C7D4D" w:rsidP="001C7D4D">
      <w:pPr>
        <w:numPr>
          <w:ilvl w:val="1"/>
          <w:numId w:val="13"/>
        </w:numPr>
        <w:spacing w:before="100" w:beforeAutospacing="1" w:after="100" w:afterAutospacing="1"/>
      </w:pPr>
      <w:r w:rsidRPr="00BD720C">
        <w:t>Onset associated with a change in stool form (appearance).</w:t>
      </w:r>
    </w:p>
    <w:p w14:paraId="16ECD5EC" w14:textId="77777777" w:rsidR="001C7D4D" w:rsidRPr="00BD720C" w:rsidRDefault="001C7D4D" w:rsidP="001C7D4D">
      <w:pPr>
        <w:pStyle w:val="a8"/>
        <w:rPr>
          <w:rFonts w:ascii="Times New Roman" w:hAnsi="Times New Roman"/>
        </w:rPr>
      </w:pPr>
      <w:r w:rsidRPr="00BD720C">
        <w:rPr>
          <w:rFonts w:ascii="Times New Roman" w:hAnsi="Times New Roman"/>
        </w:rPr>
        <w:t>The onset of symptoms must occur at least 6 months prior to diagnosis, with the symptoms listed above present for the past 3 months.</w:t>
      </w:r>
    </w:p>
    <w:p w14:paraId="16D780E6" w14:textId="77777777" w:rsidR="001C7D4D" w:rsidRPr="00BD720C" w:rsidRDefault="001C7D4D" w:rsidP="001C7D4D">
      <w:pPr>
        <w:pStyle w:val="a8"/>
        <w:rPr>
          <w:rFonts w:ascii="Times New Roman" w:hAnsi="Times New Roman"/>
        </w:rPr>
      </w:pPr>
      <w:r w:rsidRPr="00BD720C">
        <w:rPr>
          <w:rFonts w:ascii="Times New Roman" w:hAnsi="Times New Roman"/>
        </w:rPr>
        <w:t xml:space="preserve">For </w:t>
      </w:r>
      <w:r w:rsidRPr="00BD720C">
        <w:rPr>
          <w:rStyle w:val="ab"/>
          <w:rFonts w:ascii="Times New Roman" w:hAnsi="Times New Roman"/>
        </w:rPr>
        <w:t>diarrhea-predominant IBS (D-IBS)</w:t>
      </w:r>
      <w:r w:rsidRPr="00BD720C">
        <w:rPr>
          <w:rFonts w:ascii="Times New Roman" w:hAnsi="Times New Roman"/>
        </w:rPr>
        <w:t xml:space="preserve">: Loose or watery stools constitute </w:t>
      </w:r>
      <w:r w:rsidRPr="00BD720C">
        <w:rPr>
          <w:rFonts w:ascii="Times New Roman" w:eastAsia="微软雅黑" w:hAnsi="Times New Roman"/>
        </w:rPr>
        <w:t>≥</w:t>
      </w:r>
      <w:r w:rsidRPr="00BD720C">
        <w:rPr>
          <w:rFonts w:ascii="Times New Roman" w:hAnsi="Times New Roman"/>
        </w:rPr>
        <w:t>25% of bowel movements, and hard or lumpy stools constitute &lt;25%.</w:t>
      </w:r>
    </w:p>
    <w:p w14:paraId="37960BEC" w14:textId="77777777" w:rsidR="00BD720C" w:rsidRPr="00BD720C" w:rsidRDefault="00BD720C" w:rsidP="00BD720C">
      <w:pPr>
        <w:spacing w:before="100" w:beforeAutospacing="1" w:after="100" w:afterAutospacing="1"/>
        <w:rPr>
          <w:sz w:val="24"/>
          <w:szCs w:val="24"/>
        </w:rPr>
      </w:pPr>
      <w:r w:rsidRPr="00BD720C">
        <w:rPr>
          <w:b/>
          <w:bCs/>
          <w:sz w:val="24"/>
          <w:szCs w:val="24"/>
        </w:rPr>
        <w:t>Source and Method of Selecting Study Subjects:</w:t>
      </w:r>
      <w:r w:rsidRPr="00BD720C">
        <w:rPr>
          <w:sz w:val="24"/>
          <w:szCs w:val="24"/>
        </w:rPr>
        <w:t xml:space="preserve"> Patients meeting the criteria will be recruited from the outpatient gastroenterology department and the endoscopy center.</w:t>
      </w:r>
    </w:p>
    <w:p w14:paraId="6E202603" w14:textId="5B56D9DC" w:rsidR="001C7D4D" w:rsidRPr="00BD720C" w:rsidRDefault="00BD720C" w:rsidP="00BD720C">
      <w:pPr>
        <w:spacing w:before="100" w:beforeAutospacing="1" w:after="100" w:afterAutospacing="1"/>
        <w:rPr>
          <w:sz w:val="24"/>
          <w:szCs w:val="24"/>
        </w:rPr>
      </w:pPr>
      <w:r w:rsidRPr="00BD720C">
        <w:rPr>
          <w:b/>
          <w:bCs/>
          <w:sz w:val="24"/>
          <w:szCs w:val="24"/>
        </w:rPr>
        <w:t>Matching Method:</w:t>
      </w:r>
      <w:r w:rsidRPr="00BD720C">
        <w:rPr>
          <w:sz w:val="24"/>
          <w:szCs w:val="24"/>
        </w:rPr>
        <w:t xml:space="preserve"> The control group will consist of patients who are matched with the study group based on gender and age and who have undergone colonoscopy with the presence of small polyps.</w:t>
      </w:r>
    </w:p>
    <w:p w14:paraId="0F69D3AB" w14:textId="3A8354BE" w:rsidR="00BD720C" w:rsidRPr="00BD720C" w:rsidRDefault="00BD720C" w:rsidP="00BD720C">
      <w:pPr>
        <w:pStyle w:val="4"/>
        <w:rPr>
          <w:rFonts w:ascii="Times New Roman" w:hAnsi="Times New Roman" w:cs="Times New Roman"/>
        </w:rPr>
      </w:pPr>
      <w:r w:rsidRPr="00BD720C">
        <w:rPr>
          <w:rFonts w:ascii="Times New Roman" w:hAnsi="Times New Roman" w:cs="Times New Roman"/>
        </w:rPr>
        <w:t>3.</w:t>
      </w:r>
      <w:r w:rsidRPr="00BD720C">
        <w:rPr>
          <w:rFonts w:ascii="Times New Roman" w:hAnsi="Times New Roman" w:cs="Times New Roman"/>
        </w:rPr>
        <w:t>4 Study Indicators</w:t>
      </w:r>
    </w:p>
    <w:p w14:paraId="69EA0310" w14:textId="77777777" w:rsidR="00BD720C" w:rsidRPr="00BD720C" w:rsidRDefault="00BD720C" w:rsidP="00BD720C">
      <w:pPr>
        <w:pStyle w:val="a8"/>
        <w:rPr>
          <w:rFonts w:ascii="Times New Roman" w:hAnsi="Times New Roman"/>
        </w:rPr>
      </w:pPr>
      <w:r w:rsidRPr="00BD720C">
        <w:rPr>
          <w:rFonts w:ascii="Times New Roman" w:hAnsi="Times New Roman"/>
        </w:rPr>
        <w:t>The primary outcome will be the change in the fungal microbiota of the gut, specifically looking at:</w:t>
      </w:r>
    </w:p>
    <w:p w14:paraId="518462A4" w14:textId="77777777" w:rsidR="00BD720C" w:rsidRPr="00BD720C" w:rsidRDefault="00BD720C" w:rsidP="00BD720C">
      <w:pPr>
        <w:numPr>
          <w:ilvl w:val="0"/>
          <w:numId w:val="14"/>
        </w:numPr>
        <w:spacing w:before="100" w:beforeAutospacing="1" w:after="100" w:afterAutospacing="1"/>
      </w:pPr>
      <w:r w:rsidRPr="00BD720C">
        <w:t xml:space="preserve">The proportion of </w:t>
      </w:r>
      <w:r w:rsidRPr="00BD720C">
        <w:rPr>
          <w:rStyle w:val="ab"/>
        </w:rPr>
        <w:t>Saccharomyces</w:t>
      </w:r>
      <w:r w:rsidRPr="00BD720C">
        <w:t xml:space="preserve"> and </w:t>
      </w:r>
      <w:r w:rsidRPr="00BD720C">
        <w:rPr>
          <w:rStyle w:val="ab"/>
        </w:rPr>
        <w:t>Candida</w:t>
      </w:r>
      <w:r w:rsidRPr="00BD720C">
        <w:t xml:space="preserve"> species.</w:t>
      </w:r>
    </w:p>
    <w:p w14:paraId="5EC901A5" w14:textId="77777777" w:rsidR="00BD720C" w:rsidRPr="00BD720C" w:rsidRDefault="00BD720C" w:rsidP="00BD720C">
      <w:pPr>
        <w:numPr>
          <w:ilvl w:val="0"/>
          <w:numId w:val="14"/>
        </w:numPr>
        <w:spacing w:before="100" w:beforeAutospacing="1" w:after="100" w:afterAutospacing="1"/>
      </w:pPr>
      <w:r w:rsidRPr="00BD720C">
        <w:rPr>
          <w:rStyle w:val="ab"/>
        </w:rPr>
        <w:t>Shannon diversity index</w:t>
      </w:r>
      <w:r w:rsidRPr="00BD720C">
        <w:t>, a measure of microbial diversity.</w:t>
      </w:r>
    </w:p>
    <w:p w14:paraId="2BF4AD56" w14:textId="77777777" w:rsidR="001D16C9" w:rsidRDefault="00BD720C" w:rsidP="001D16C9">
      <w:pPr>
        <w:pStyle w:val="a8"/>
        <w:rPr>
          <w:rFonts w:ascii="Times New Roman" w:hAnsi="Times New Roman"/>
        </w:rPr>
      </w:pPr>
      <w:r w:rsidRPr="00BD720C">
        <w:rPr>
          <w:rFonts w:ascii="Times New Roman" w:hAnsi="Times New Roman"/>
        </w:rPr>
        <w:t>Given the influence of various factors on gut microbiota, the questionnaire will include items regarding the subject’s residence, dietary preferences, and medication history. Additionally, anxiety and depression scales will be used to record the emotional state of the patients for future analysis.</w:t>
      </w:r>
    </w:p>
    <w:p w14:paraId="20CC854F" w14:textId="30C90C96" w:rsidR="00BD720C" w:rsidRPr="00BD720C" w:rsidRDefault="00BD720C" w:rsidP="001D16C9">
      <w:pPr>
        <w:pStyle w:val="4"/>
        <w:rPr>
          <w:rFonts w:ascii="Times New Roman" w:hAnsi="Times New Roman" w:cs="Times New Roman"/>
        </w:rPr>
      </w:pPr>
      <w:r w:rsidRPr="00BD720C">
        <w:rPr>
          <w:rFonts w:ascii="Times New Roman" w:hAnsi="Times New Roman" w:cs="Times New Roman"/>
        </w:rPr>
        <w:lastRenderedPageBreak/>
        <w:t>3.</w:t>
      </w:r>
      <w:r w:rsidRPr="00BD720C">
        <w:rPr>
          <w:rFonts w:ascii="Times New Roman" w:hAnsi="Times New Roman" w:cs="Times New Roman"/>
        </w:rPr>
        <w:t>5</w:t>
      </w:r>
      <w:r w:rsidRPr="00BD720C">
        <w:rPr>
          <w:rFonts w:ascii="Times New Roman" w:hAnsi="Times New Roman" w:cs="Times New Roman"/>
        </w:rPr>
        <w:t xml:space="preserve"> Sample Size</w:t>
      </w:r>
    </w:p>
    <w:p w14:paraId="6122D913" w14:textId="77777777" w:rsidR="00BD720C" w:rsidRPr="00BD720C" w:rsidRDefault="00BD720C" w:rsidP="00BD720C">
      <w:pPr>
        <w:pStyle w:val="a8"/>
        <w:rPr>
          <w:rFonts w:ascii="Times New Roman" w:hAnsi="Times New Roman"/>
        </w:rPr>
      </w:pPr>
      <w:r w:rsidRPr="00BD720C">
        <w:rPr>
          <w:rFonts w:ascii="Times New Roman" w:hAnsi="Times New Roman"/>
        </w:rPr>
        <w:t>The study will use a comparison of two independent sample proportions. With α = 0.05 and power = 80%, 61 subjects will be required in both the study and control groups. Accounting for recruitment time, patient numbers in the Gastroenterology Department, and the prevalence of IBS (7.26% in the Beijing area), the target sample size for both groups is 30-40 patients.</w:t>
      </w:r>
    </w:p>
    <w:p w14:paraId="10EEA2A5" w14:textId="2DEE4AE3" w:rsidR="00BD720C" w:rsidRPr="00BD720C" w:rsidRDefault="00BD720C" w:rsidP="00BD720C">
      <w:pPr>
        <w:pStyle w:val="4"/>
        <w:rPr>
          <w:rFonts w:ascii="Times New Roman" w:hAnsi="Times New Roman" w:cs="Times New Roman"/>
        </w:rPr>
      </w:pPr>
      <w:r w:rsidRPr="00BD720C">
        <w:rPr>
          <w:rFonts w:ascii="Times New Roman" w:hAnsi="Times New Roman" w:cs="Times New Roman"/>
        </w:rPr>
        <w:t>3.</w:t>
      </w:r>
      <w:r w:rsidRPr="00BD720C">
        <w:rPr>
          <w:rFonts w:ascii="Times New Roman" w:hAnsi="Times New Roman" w:cs="Times New Roman"/>
        </w:rPr>
        <w:t>6</w:t>
      </w:r>
      <w:r w:rsidRPr="00BD720C">
        <w:rPr>
          <w:rFonts w:ascii="Times New Roman" w:hAnsi="Times New Roman" w:cs="Times New Roman"/>
        </w:rPr>
        <w:t xml:space="preserve"> Data Management</w:t>
      </w:r>
    </w:p>
    <w:p w14:paraId="2DE24745" w14:textId="729B6610" w:rsidR="00BD720C" w:rsidRPr="00BD720C" w:rsidRDefault="00BD720C" w:rsidP="00BD720C">
      <w:pPr>
        <w:pStyle w:val="a8"/>
        <w:rPr>
          <w:rFonts w:ascii="Times New Roman" w:hAnsi="Times New Roman"/>
        </w:rPr>
      </w:pPr>
      <w:r w:rsidRPr="00BD720C">
        <w:rPr>
          <w:rFonts w:ascii="Times New Roman" w:hAnsi="Times New Roman"/>
        </w:rPr>
        <w:t>Data will be collected using a questionnaire, and patient information will be recorded in both physical forms and an electronic Excel database.</w:t>
      </w:r>
    </w:p>
    <w:p w14:paraId="19233724" w14:textId="66AFF767" w:rsidR="00BD720C" w:rsidRPr="00BD720C" w:rsidRDefault="00BD720C" w:rsidP="00BD720C">
      <w:pPr>
        <w:pStyle w:val="4"/>
        <w:rPr>
          <w:rFonts w:ascii="Times New Roman" w:hAnsi="Times New Roman" w:cs="Times New Roman"/>
        </w:rPr>
      </w:pPr>
      <w:r w:rsidRPr="00BD720C">
        <w:rPr>
          <w:rFonts w:ascii="Times New Roman" w:hAnsi="Times New Roman" w:cs="Times New Roman"/>
        </w:rPr>
        <w:t>3.7</w:t>
      </w:r>
      <w:r w:rsidRPr="00BD720C">
        <w:rPr>
          <w:rFonts w:ascii="Times New Roman" w:hAnsi="Times New Roman" w:cs="Times New Roman"/>
        </w:rPr>
        <w:t xml:space="preserve"> Statistical Analysis</w:t>
      </w:r>
    </w:p>
    <w:p w14:paraId="770720BD" w14:textId="77777777" w:rsidR="00BD720C" w:rsidRPr="00BD720C" w:rsidRDefault="00BD720C" w:rsidP="00BD720C">
      <w:pPr>
        <w:pStyle w:val="a8"/>
        <w:rPr>
          <w:rFonts w:ascii="Times New Roman" w:hAnsi="Times New Roman"/>
        </w:rPr>
      </w:pPr>
      <w:r w:rsidRPr="00BD720C">
        <w:rPr>
          <w:rFonts w:ascii="Times New Roman" w:hAnsi="Times New Roman"/>
        </w:rPr>
        <w:t xml:space="preserve">The SPSS statistical software will be used to compare the proportions of </w:t>
      </w:r>
      <w:r w:rsidRPr="00BD720C">
        <w:rPr>
          <w:rStyle w:val="ab"/>
          <w:rFonts w:ascii="Times New Roman" w:hAnsi="Times New Roman"/>
        </w:rPr>
        <w:t>Saccharomyces</w:t>
      </w:r>
      <w:r w:rsidRPr="00BD720C">
        <w:rPr>
          <w:rFonts w:ascii="Times New Roman" w:hAnsi="Times New Roman"/>
        </w:rPr>
        <w:t xml:space="preserve"> and </w:t>
      </w:r>
      <w:r w:rsidRPr="00BD720C">
        <w:rPr>
          <w:rStyle w:val="ab"/>
          <w:rFonts w:ascii="Times New Roman" w:hAnsi="Times New Roman"/>
        </w:rPr>
        <w:t>Candida</w:t>
      </w:r>
      <w:r w:rsidRPr="00BD720C">
        <w:rPr>
          <w:rFonts w:ascii="Times New Roman" w:hAnsi="Times New Roman"/>
        </w:rPr>
        <w:t xml:space="preserve"> between the study and control groups. A p-value of &lt;0.05 will be considered statistically significant.</w:t>
      </w:r>
    </w:p>
    <w:p w14:paraId="0DBE3712" w14:textId="08DDA568" w:rsidR="0077659C" w:rsidRPr="0077659C" w:rsidRDefault="0077659C" w:rsidP="0077659C">
      <w:pPr>
        <w:pStyle w:val="a8"/>
        <w:rPr>
          <w:rFonts w:ascii="Times New Roman" w:hAnsi="Times New Roman"/>
        </w:rPr>
      </w:pPr>
      <w:r w:rsidRPr="0077659C">
        <w:rPr>
          <w:rStyle w:val="31"/>
        </w:rPr>
        <w:t>4</w:t>
      </w:r>
      <w:r>
        <w:rPr>
          <w:rStyle w:val="31"/>
        </w:rPr>
        <w:t>.</w:t>
      </w:r>
      <w:r w:rsidRPr="0077659C">
        <w:rPr>
          <w:rStyle w:val="31"/>
        </w:rPr>
        <w:t xml:space="preserve"> Protection of Subjects</w:t>
      </w:r>
      <w:r w:rsidRPr="0077659C">
        <w:rPr>
          <w:rStyle w:val="31"/>
        </w:rPr>
        <w:br/>
      </w:r>
      <w:r w:rsidRPr="0077659C">
        <w:rPr>
          <w:rFonts w:ascii="Times New Roman" w:hAnsi="Times New Roman"/>
        </w:rPr>
        <w:t>Before the study, informed consent will be obtained from the participants. The main benefits for participants include gaining an intuitive understanding of their own intestinal sensitivity and the fungal microenvironment of their gut. Additionally, through pathological histological examinations, conditions such as lymphocytic colitis and collagenous colitis, which may cause persistent chronic diarrhea but are negative on endoscopic mucosal examination, will be screened. The risks primarily arise from the bowel preparation process for colonoscopy and the associated risks during the procedure, which are similar to those of routine colonoscopies. Children, elderly individuals, and pregnant women are not included in this study. Participants can unconditionally withdraw from the study at any stage, and any issues that arise during the research can be addressed by contacting the research personnel via a reserved phone number.</w:t>
      </w:r>
    </w:p>
    <w:p w14:paraId="555363A3" w14:textId="0020E429" w:rsidR="0077659C" w:rsidRPr="0077659C" w:rsidRDefault="0077659C" w:rsidP="0077659C">
      <w:pPr>
        <w:spacing w:before="100" w:beforeAutospacing="1" w:after="100" w:afterAutospacing="1"/>
        <w:rPr>
          <w:sz w:val="24"/>
          <w:szCs w:val="24"/>
        </w:rPr>
      </w:pPr>
      <w:r>
        <w:rPr>
          <w:rStyle w:val="31"/>
        </w:rPr>
        <w:t>5</w:t>
      </w:r>
      <w:r w:rsidRPr="0077659C">
        <w:rPr>
          <w:rStyle w:val="31"/>
        </w:rPr>
        <w:t>. Quality Control of the Study</w:t>
      </w:r>
      <w:r w:rsidRPr="0077659C">
        <w:rPr>
          <w:rStyle w:val="31"/>
        </w:rPr>
        <w:br/>
      </w:r>
      <w:r w:rsidRPr="0077659C">
        <w:rPr>
          <w:sz w:val="24"/>
          <w:szCs w:val="24"/>
        </w:rPr>
        <w:t>Patients included in the study will undergo preliminary screening by gastroenterology specialists, followed by inquiries and recording of questionnaires by specially trained research physicians. The intestinal mucosal specimens will be transported using designated specimen storage tubes. The entire research process will be subject to regular quality control conducted by the project leader.</w:t>
      </w:r>
    </w:p>
    <w:p w14:paraId="7B224398" w14:textId="66B9BBB9" w:rsidR="0077659C" w:rsidRPr="0077659C" w:rsidRDefault="0077659C" w:rsidP="0077659C">
      <w:pPr>
        <w:spacing w:before="100" w:beforeAutospacing="1" w:after="100" w:afterAutospacing="1"/>
        <w:rPr>
          <w:b/>
          <w:bCs/>
          <w:sz w:val="24"/>
          <w:szCs w:val="24"/>
        </w:rPr>
      </w:pPr>
      <w:r w:rsidRPr="0077659C">
        <w:rPr>
          <w:rStyle w:val="31"/>
        </w:rPr>
        <w:lastRenderedPageBreak/>
        <w:t>6. Research Timeline</w:t>
      </w:r>
      <w:r w:rsidRPr="0077659C">
        <w:rPr>
          <w:rStyle w:val="31"/>
        </w:rPr>
        <w:br/>
      </w:r>
      <w:r w:rsidRPr="0077659C">
        <w:rPr>
          <w:sz w:val="24"/>
          <w:szCs w:val="24"/>
        </w:rPr>
        <w:t>June 2019 - August 2019: Screen and enroll patients, complete colonoscopy examinations, and collect intestinal mucosal specimens.</w:t>
      </w:r>
    </w:p>
    <w:p w14:paraId="6C88272F" w14:textId="75830167" w:rsidR="0077659C" w:rsidRPr="0077659C" w:rsidRDefault="0077659C" w:rsidP="0077659C">
      <w:pPr>
        <w:spacing w:before="100" w:beforeAutospacing="1" w:after="100" w:afterAutospacing="1"/>
        <w:rPr>
          <w:sz w:val="24"/>
          <w:szCs w:val="24"/>
        </w:rPr>
      </w:pPr>
      <w:r w:rsidRPr="0077659C">
        <w:rPr>
          <w:sz w:val="24"/>
          <w:szCs w:val="24"/>
        </w:rPr>
        <w:t>August 2019 - December 2019: DNA extraction from specimens will be performed, targeting the ITS sequence for amplification, followed by sequencing and sequence analysis.</w:t>
      </w:r>
    </w:p>
    <w:p w14:paraId="141E8DC0" w14:textId="022C0AC7" w:rsidR="0077659C" w:rsidRPr="0077659C" w:rsidRDefault="0077659C" w:rsidP="0077659C">
      <w:pPr>
        <w:spacing w:before="100" w:beforeAutospacing="1" w:after="100" w:afterAutospacing="1"/>
        <w:rPr>
          <w:sz w:val="24"/>
          <w:szCs w:val="24"/>
        </w:rPr>
      </w:pPr>
      <w:bookmarkStart w:id="0" w:name="_GoBack"/>
      <w:r w:rsidRPr="001D16C9">
        <w:rPr>
          <w:rStyle w:val="31"/>
        </w:rPr>
        <w:t>7. Organization and Management of the Study</w:t>
      </w:r>
      <w:r w:rsidRPr="0077659C">
        <w:rPr>
          <w:rStyle w:val="31"/>
        </w:rPr>
        <w:br/>
      </w:r>
      <w:bookmarkEnd w:id="0"/>
      <w:r w:rsidRPr="0077659C">
        <w:rPr>
          <w:sz w:val="24"/>
          <w:szCs w:val="24"/>
        </w:rPr>
        <w:t>The flowchart of the research process is as follows:</w:t>
      </w:r>
    </w:p>
    <w:p w14:paraId="78AF2FE4" w14:textId="36AAA6EC" w:rsidR="00F00450" w:rsidRPr="00BD720C" w:rsidRDefault="0077659C" w:rsidP="00876EB0">
      <w:pPr>
        <w:pStyle w:val="a8"/>
        <w:spacing w:before="0" w:beforeAutospacing="0" w:after="0" w:afterAutospacing="0" w:line="360" w:lineRule="auto"/>
        <w:jc w:val="both"/>
        <w:rPr>
          <w:rFonts w:ascii="Times New Roman" w:hAnsi="Times New Roman"/>
          <w:bCs/>
          <w:color w:val="365F91"/>
        </w:rPr>
      </w:pPr>
      <w:r w:rsidRPr="00BD720C">
        <w:rPr>
          <w:rFonts w:ascii="Times New Roman" w:hAnsi="Times New Roman"/>
          <w:noProof/>
        </w:rPr>
        <mc:AlternateContent>
          <mc:Choice Requires="wpc">
            <w:drawing>
              <wp:inline distT="0" distB="0" distL="0" distR="0" wp14:anchorId="4BD26DBF" wp14:editId="2DF0446A">
                <wp:extent cx="5493170" cy="5128895"/>
                <wp:effectExtent l="0" t="0" r="12700" b="0"/>
                <wp:docPr id="1"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直接连接符 4"/>
                        <wps:cNvCnPr>
                          <a:cxnSpLocks noRot="1" noChangeAspect="1" noEditPoints="1" noChangeArrowheads="1" noChangeShapeType="1"/>
                        </wps:cNvCnPr>
                        <wps:spPr bwMode="auto">
                          <a:xfrm>
                            <a:off x="2435638" y="655504"/>
                            <a:ext cx="0" cy="16494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直接连接符 5"/>
                        <wps:cNvCnPr>
                          <a:cxnSpLocks noRot="1" noChangeAspect="1" noEditPoints="1" noChangeArrowheads="1" noChangeShapeType="1"/>
                        </wps:cNvCnPr>
                        <wps:spPr bwMode="auto">
                          <a:xfrm>
                            <a:off x="2435638" y="1287486"/>
                            <a:ext cx="69541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直接连接符 6"/>
                        <wps:cNvCnPr>
                          <a:cxnSpLocks noRot="1" noChangeAspect="1" noEditPoints="1" noChangeArrowheads="1" noChangeShapeType="1"/>
                        </wps:cNvCnPr>
                        <wps:spPr bwMode="auto">
                          <a:xfrm>
                            <a:off x="2435638" y="2322342"/>
                            <a:ext cx="0" cy="1300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直接连接符 9"/>
                        <wps:cNvCnPr>
                          <a:cxnSpLocks noRot="1" noChangeAspect="1" noEditPoints="1" noChangeArrowheads="1" noChangeShapeType="1"/>
                        </wps:cNvCnPr>
                        <wps:spPr bwMode="auto">
                          <a:xfrm>
                            <a:off x="2435638" y="3164309"/>
                            <a:ext cx="5646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左大括号 27"/>
                        <wps:cNvSpPr>
                          <a:spLocks noRot="1" noChangeAspect="1" noEditPoints="1" noChangeArrowheads="1" noChangeShapeType="1" noTextEdit="1"/>
                        </wps:cNvSpPr>
                        <wps:spPr bwMode="auto">
                          <a:xfrm rot="16200000">
                            <a:off x="1375524" y="3911076"/>
                            <a:ext cx="368300" cy="736612"/>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2"/>
                        <wps:cNvSpPr txBox="1">
                          <a:spLocks noRot="1" noChangeAspect="1" noEditPoints="1" noChangeArrowheads="1" noChangeShapeType="1" noTextEdit="1"/>
                        </wps:cNvSpPr>
                        <wps:spPr bwMode="auto">
                          <a:xfrm>
                            <a:off x="852373" y="90486"/>
                            <a:ext cx="3390900" cy="565200"/>
                          </a:xfrm>
                          <a:prstGeom prst="rect">
                            <a:avLst/>
                          </a:prstGeom>
                          <a:solidFill>
                            <a:srgbClr val="FFFFFF"/>
                          </a:solidFill>
                          <a:ln w="9525">
                            <a:solidFill>
                              <a:srgbClr val="000000"/>
                            </a:solidFill>
                            <a:miter lim="800000"/>
                            <a:headEnd/>
                            <a:tailEnd/>
                          </a:ln>
                        </wps:spPr>
                        <wps:txbx>
                          <w:txbxContent>
                            <w:p w14:paraId="672E8E40" w14:textId="6E0E3DDF" w:rsidR="0077659C" w:rsidRPr="00017126" w:rsidRDefault="0077659C" w:rsidP="0077659C">
                              <w:pPr>
                                <w:rPr>
                                  <w:sz w:val="18"/>
                                </w:rPr>
                              </w:pPr>
                              <w:r>
                                <w:t>Screening of suspected patients with clinical manifestations consistent with IBS</w:t>
                              </w:r>
                              <w:r>
                                <w:t>-D</w:t>
                              </w:r>
                              <w:r>
                                <w:t xml:space="preserve"> in the outpatient department.</w:t>
                              </w:r>
                            </w:p>
                          </w:txbxContent>
                        </wps:txbx>
                        <wps:bodyPr rot="0" vert="horz" wrap="square" lIns="91440" tIns="45720" rIns="91440" bIns="45720" anchor="t" anchorCtr="0" upright="1">
                          <a:noAutofit/>
                        </wps:bodyPr>
                      </wps:wsp>
                      <wps:wsp>
                        <wps:cNvPr id="9" name="文本框 2"/>
                        <wps:cNvSpPr txBox="1">
                          <a:spLocks noRot="1" noChangeAspect="1" noEditPoints="1" noChangeArrowheads="1" noChangeShapeType="1" noTextEdit="1"/>
                        </wps:cNvSpPr>
                        <wps:spPr bwMode="auto">
                          <a:xfrm>
                            <a:off x="3000261" y="802530"/>
                            <a:ext cx="2486025" cy="1335832"/>
                          </a:xfrm>
                          <a:prstGeom prst="rect">
                            <a:avLst/>
                          </a:prstGeom>
                          <a:solidFill>
                            <a:srgbClr val="FFFFFF"/>
                          </a:solidFill>
                          <a:ln w="9525">
                            <a:solidFill>
                              <a:srgbClr val="000000"/>
                            </a:solidFill>
                            <a:miter lim="800000"/>
                            <a:headEnd/>
                            <a:tailEnd/>
                          </a:ln>
                        </wps:spPr>
                        <wps:txbx>
                          <w:txbxContent>
                            <w:p w14:paraId="4740031C" w14:textId="77777777" w:rsidR="00D43D0A" w:rsidRPr="00D43D0A" w:rsidRDefault="00D43D0A" w:rsidP="00D43D0A">
                              <w:pPr>
                                <w:jc w:val="both"/>
                                <w:rPr>
                                  <w:kern w:val="2"/>
                                  <w:sz w:val="18"/>
                                  <w:szCs w:val="18"/>
                                </w:rPr>
                              </w:pPr>
                              <w:r w:rsidRPr="00D43D0A">
                                <w:rPr>
                                  <w:kern w:val="2"/>
                                  <w:sz w:val="18"/>
                                  <w:szCs w:val="18"/>
                                </w:rPr>
                                <w:t>The following suspected patients were excluded:</w:t>
                              </w:r>
                            </w:p>
                            <w:p w14:paraId="7DC42927" w14:textId="77777777" w:rsidR="00D43D0A" w:rsidRPr="00D43D0A" w:rsidRDefault="00D43D0A" w:rsidP="00D43D0A">
                              <w:pPr>
                                <w:pStyle w:val="aa"/>
                                <w:numPr>
                                  <w:ilvl w:val="0"/>
                                  <w:numId w:val="15"/>
                                </w:numPr>
                                <w:ind w:firstLineChars="0"/>
                                <w:jc w:val="both"/>
                                <w:rPr>
                                  <w:rFonts w:ascii="Times New Roman" w:hAnsi="Times New Roman" w:cs="Times New Roman"/>
                                  <w:kern w:val="2"/>
                                  <w:sz w:val="18"/>
                                  <w:szCs w:val="18"/>
                                </w:rPr>
                              </w:pPr>
                              <w:r w:rsidRPr="00D43D0A">
                                <w:rPr>
                                  <w:rFonts w:ascii="Times New Roman" w:hAnsi="Times New Roman" w:cs="Times New Roman"/>
                                  <w:kern w:val="2"/>
                                  <w:sz w:val="18"/>
                                  <w:szCs w:val="18"/>
                                </w:rPr>
                                <w:t>Abnormal findings on colonoscopy;</w:t>
                              </w:r>
                            </w:p>
                            <w:p w14:paraId="696BB128" w14:textId="77777777" w:rsidR="00D43D0A" w:rsidRPr="00D43D0A" w:rsidRDefault="00D43D0A" w:rsidP="00D43D0A">
                              <w:pPr>
                                <w:pStyle w:val="aa"/>
                                <w:numPr>
                                  <w:ilvl w:val="0"/>
                                  <w:numId w:val="15"/>
                                </w:numPr>
                                <w:ind w:firstLineChars="0"/>
                                <w:jc w:val="both"/>
                                <w:rPr>
                                  <w:rFonts w:ascii="Times New Roman" w:hAnsi="Times New Roman" w:cs="Times New Roman"/>
                                  <w:kern w:val="2"/>
                                  <w:sz w:val="18"/>
                                  <w:szCs w:val="18"/>
                                </w:rPr>
                              </w:pPr>
                              <w:r w:rsidRPr="00D43D0A">
                                <w:rPr>
                                  <w:rFonts w:ascii="Times New Roman" w:hAnsi="Times New Roman" w:cs="Times New Roman"/>
                                  <w:kern w:val="2"/>
                                  <w:sz w:val="18"/>
                                  <w:szCs w:val="18"/>
                                </w:rPr>
                                <w:t>Presence of endocrine or metabolic diseases;</w:t>
                              </w:r>
                            </w:p>
                            <w:p w14:paraId="63782C43" w14:textId="77777777" w:rsidR="00D43D0A" w:rsidRPr="00D43D0A" w:rsidRDefault="00D43D0A" w:rsidP="00D43D0A">
                              <w:pPr>
                                <w:pStyle w:val="aa"/>
                                <w:numPr>
                                  <w:ilvl w:val="0"/>
                                  <w:numId w:val="15"/>
                                </w:numPr>
                                <w:ind w:firstLineChars="0"/>
                                <w:jc w:val="both"/>
                                <w:rPr>
                                  <w:rFonts w:ascii="Times New Roman" w:hAnsi="Times New Roman" w:cs="Times New Roman"/>
                                  <w:kern w:val="2"/>
                                  <w:sz w:val="18"/>
                                  <w:szCs w:val="18"/>
                                </w:rPr>
                              </w:pPr>
                              <w:r w:rsidRPr="00D43D0A">
                                <w:rPr>
                                  <w:rFonts w:ascii="Times New Roman" w:hAnsi="Times New Roman" w:cs="Times New Roman"/>
                                  <w:kern w:val="2"/>
                                  <w:sz w:val="18"/>
                                  <w:szCs w:val="18"/>
                                </w:rPr>
                                <w:t>History of pelvic or abdominal surgery;</w:t>
                              </w:r>
                            </w:p>
                            <w:p w14:paraId="1B1D826F" w14:textId="04CC97B2" w:rsidR="0077659C" w:rsidRPr="00D43D0A" w:rsidRDefault="00D43D0A" w:rsidP="00D43D0A">
                              <w:pPr>
                                <w:pStyle w:val="aa"/>
                                <w:numPr>
                                  <w:ilvl w:val="0"/>
                                  <w:numId w:val="15"/>
                                </w:numPr>
                                <w:ind w:firstLineChars="0"/>
                                <w:jc w:val="both"/>
                                <w:rPr>
                                  <w:rFonts w:ascii="Times New Roman" w:hAnsi="Times New Roman" w:cs="Times New Roman" w:hint="eastAsia"/>
                                  <w:kern w:val="2"/>
                                  <w:sz w:val="18"/>
                                  <w:szCs w:val="18"/>
                                </w:rPr>
                              </w:pPr>
                              <w:r w:rsidRPr="00D43D0A">
                                <w:rPr>
                                  <w:rFonts w:ascii="Times New Roman" w:hAnsi="Times New Roman" w:cs="Times New Roman"/>
                                  <w:kern w:val="2"/>
                                  <w:sz w:val="18"/>
                                  <w:szCs w:val="18"/>
                                </w:rPr>
                                <w:t>Age over 70 years or under 18 years.</w:t>
                              </w:r>
                            </w:p>
                          </w:txbxContent>
                        </wps:txbx>
                        <wps:bodyPr rot="0" vert="horz" wrap="square" lIns="91440" tIns="45720" rIns="91440" bIns="45720" anchor="t" anchorCtr="0" upright="1">
                          <a:noAutofit/>
                        </wps:bodyPr>
                      </wps:wsp>
                      <wps:wsp>
                        <wps:cNvPr id="10" name="文本框 2"/>
                        <wps:cNvSpPr txBox="1">
                          <a:spLocks noRot="1" noChangeAspect="1" noEditPoints="1" noChangeArrowheads="1" noChangeShapeType="1" noTextEdit="1"/>
                        </wps:cNvSpPr>
                        <wps:spPr bwMode="auto">
                          <a:xfrm>
                            <a:off x="28799" y="2305055"/>
                            <a:ext cx="4933654" cy="295300"/>
                          </a:xfrm>
                          <a:prstGeom prst="rect">
                            <a:avLst/>
                          </a:prstGeom>
                          <a:solidFill>
                            <a:srgbClr val="FFFFFF"/>
                          </a:solidFill>
                          <a:ln w="9525">
                            <a:solidFill>
                              <a:srgbClr val="000000"/>
                            </a:solidFill>
                            <a:miter lim="800000"/>
                            <a:headEnd/>
                            <a:tailEnd/>
                          </a:ln>
                        </wps:spPr>
                        <wps:txbx>
                          <w:txbxContent>
                            <w:p w14:paraId="56219F9C" w14:textId="47DE31D0" w:rsidR="0077659C" w:rsidRPr="00017126" w:rsidRDefault="00D43D0A" w:rsidP="0077659C">
                              <w:pPr>
                                <w:rPr>
                                  <w:sz w:val="18"/>
                                </w:rPr>
                              </w:pPr>
                              <w:r>
                                <w:t>Patients with D-IBS were selected based on the Rome III criteria and the Bristol stool scale.</w:t>
                              </w:r>
                            </w:p>
                          </w:txbxContent>
                        </wps:txbx>
                        <wps:bodyPr rot="0" vert="horz" wrap="square" lIns="91440" tIns="45720" rIns="91440" bIns="45720" anchor="t" anchorCtr="0" upright="1">
                          <a:noAutofit/>
                        </wps:bodyPr>
                      </wps:wsp>
                      <wps:wsp>
                        <wps:cNvPr id="11" name="文本框 2"/>
                        <wps:cNvSpPr txBox="1">
                          <a:spLocks noRot="1" noChangeAspect="1" noEditPoints="1" noChangeArrowheads="1" noChangeShapeType="1" noTextEdit="1"/>
                        </wps:cNvSpPr>
                        <wps:spPr bwMode="auto">
                          <a:xfrm>
                            <a:off x="3000261" y="2819400"/>
                            <a:ext cx="2486025" cy="713796"/>
                          </a:xfrm>
                          <a:prstGeom prst="rect">
                            <a:avLst/>
                          </a:prstGeom>
                          <a:solidFill>
                            <a:srgbClr val="FFFFFF"/>
                          </a:solidFill>
                          <a:ln w="9525">
                            <a:solidFill>
                              <a:srgbClr val="000000"/>
                            </a:solidFill>
                            <a:miter lim="800000"/>
                            <a:headEnd/>
                            <a:tailEnd/>
                          </a:ln>
                        </wps:spPr>
                        <wps:txbx>
                          <w:txbxContent>
                            <w:p w14:paraId="62F501DB" w14:textId="32474341" w:rsidR="0077659C" w:rsidRPr="00017126" w:rsidRDefault="00D43D0A" w:rsidP="0077659C">
                              <w:pPr>
                                <w:rPr>
                                  <w:sz w:val="18"/>
                                </w:rPr>
                              </w:pPr>
                              <w:r>
                                <w:t>Signing the informed consent form for study enrollment and the informed consent form for colonoscopy.</w:t>
                              </w:r>
                            </w:p>
                          </w:txbxContent>
                        </wps:txbx>
                        <wps:bodyPr rot="0" vert="horz" wrap="square" lIns="91440" tIns="45720" rIns="91440" bIns="45720" anchor="t" anchorCtr="0" upright="1">
                          <a:noAutofit/>
                        </wps:bodyPr>
                      </wps:wsp>
                      <wps:wsp>
                        <wps:cNvPr id="12" name="文本框 2"/>
                        <wps:cNvSpPr txBox="1">
                          <a:spLocks noRot="1" noChangeAspect="1" noEditPoints="1" noChangeArrowheads="1" noChangeShapeType="1" noTextEdit="1"/>
                        </wps:cNvSpPr>
                        <wps:spPr bwMode="auto">
                          <a:xfrm>
                            <a:off x="28799" y="3190677"/>
                            <a:ext cx="1485562" cy="903627"/>
                          </a:xfrm>
                          <a:prstGeom prst="rect">
                            <a:avLst/>
                          </a:prstGeom>
                          <a:solidFill>
                            <a:srgbClr val="FFFFFF"/>
                          </a:solidFill>
                          <a:ln w="9525">
                            <a:solidFill>
                              <a:srgbClr val="000000"/>
                            </a:solidFill>
                            <a:miter lim="800000"/>
                            <a:headEnd/>
                            <a:tailEnd/>
                          </a:ln>
                        </wps:spPr>
                        <wps:txbx>
                          <w:txbxContent>
                            <w:p w14:paraId="6C5514C2" w14:textId="5166AC66" w:rsidR="0077659C" w:rsidRPr="00017126" w:rsidRDefault="001D16C9" w:rsidP="0077659C">
                              <w:pPr>
                                <w:rPr>
                                  <w:sz w:val="18"/>
                                </w:rPr>
                              </w:pPr>
                              <w:r>
                                <w:t>After signing the consent form, the healthy control group will undergo colonoscopy.</w:t>
                              </w:r>
                            </w:p>
                          </w:txbxContent>
                        </wps:txbx>
                        <wps:bodyPr rot="0" vert="horz" wrap="square" lIns="91440" tIns="45720" rIns="91440" bIns="45720" anchor="t" anchorCtr="0" upright="1">
                          <a:noAutofit/>
                        </wps:bodyPr>
                      </wps:wsp>
                      <wps:wsp>
                        <wps:cNvPr id="13" name="文本框 2"/>
                        <wps:cNvSpPr txBox="1">
                          <a:spLocks noRot="1" noChangeAspect="1" noEditPoints="1" noChangeArrowheads="1" noChangeShapeType="1" noTextEdit="1"/>
                        </wps:cNvSpPr>
                        <wps:spPr bwMode="auto">
                          <a:xfrm>
                            <a:off x="1645525" y="3622682"/>
                            <a:ext cx="1497924" cy="472500"/>
                          </a:xfrm>
                          <a:prstGeom prst="rect">
                            <a:avLst/>
                          </a:prstGeom>
                          <a:solidFill>
                            <a:srgbClr val="FFFFFF"/>
                          </a:solidFill>
                          <a:ln w="9525">
                            <a:solidFill>
                              <a:srgbClr val="000000"/>
                            </a:solidFill>
                            <a:miter lim="800000"/>
                            <a:headEnd/>
                            <a:tailEnd/>
                          </a:ln>
                        </wps:spPr>
                        <wps:txbx>
                          <w:txbxContent>
                            <w:p w14:paraId="170A4D64" w14:textId="764F3DBE" w:rsidR="0077659C" w:rsidRPr="00017126" w:rsidRDefault="001D16C9" w:rsidP="0077659C">
                              <w:pPr>
                                <w:rPr>
                                  <w:sz w:val="18"/>
                                </w:rPr>
                              </w:pPr>
                              <w:r>
                                <w:t>Colonoscopy</w:t>
                              </w:r>
                            </w:p>
                          </w:txbxContent>
                        </wps:txbx>
                        <wps:bodyPr rot="0" vert="horz" wrap="square" lIns="91440" tIns="45720" rIns="91440" bIns="45720" anchor="t" anchorCtr="0" upright="1">
                          <a:noAutofit/>
                        </wps:bodyPr>
                      </wps:wsp>
                      <wps:wsp>
                        <wps:cNvPr id="14" name="文本框 2"/>
                        <wps:cNvSpPr txBox="1">
                          <a:spLocks noRot="1" noChangeAspect="1" noEditPoints="1" noChangeArrowheads="1" noChangeShapeType="1" noTextEdit="1"/>
                        </wps:cNvSpPr>
                        <wps:spPr bwMode="auto">
                          <a:xfrm>
                            <a:off x="37933" y="4462828"/>
                            <a:ext cx="3190918" cy="543000"/>
                          </a:xfrm>
                          <a:prstGeom prst="rect">
                            <a:avLst/>
                          </a:prstGeom>
                          <a:solidFill>
                            <a:srgbClr val="FFFFFF"/>
                          </a:solidFill>
                          <a:ln w="9525">
                            <a:solidFill>
                              <a:srgbClr val="000000"/>
                            </a:solidFill>
                            <a:miter lim="800000"/>
                            <a:headEnd/>
                            <a:tailEnd/>
                          </a:ln>
                        </wps:spPr>
                        <wps:txbx>
                          <w:txbxContent>
                            <w:p w14:paraId="0147B300" w14:textId="65BFC3F0" w:rsidR="0077659C" w:rsidRPr="00017126" w:rsidRDefault="001D16C9" w:rsidP="0077659C">
                              <w:pPr>
                                <w:rPr>
                                  <w:sz w:val="18"/>
                                </w:rPr>
                              </w:pPr>
                              <w:r>
                                <w:t>Retrieve mucosal samples from the cecum, perform ITS sequencing, and conduct microbial community analysis.</w:t>
                              </w:r>
                            </w:p>
                          </w:txbxContent>
                        </wps:txbx>
                        <wps:bodyPr rot="0" vert="horz" wrap="square" lIns="91440" tIns="45720" rIns="91440" bIns="45720" anchor="t" anchorCtr="0" upright="1">
                          <a:noAutofit/>
                        </wps:bodyPr>
                      </wps:wsp>
                    </wpc:wpc>
                  </a:graphicData>
                </a:graphic>
              </wp:inline>
            </w:drawing>
          </mc:Choice>
          <mc:Fallback>
            <w:pict>
              <v:group w14:anchorId="4BD26DBF" id="画布 1" o:spid="_x0000_s1026" editas="canvas" style="width:432.55pt;height:403.85pt;mso-position-horizontal-relative:char;mso-position-vertical-relative:line" coordsize="54927,5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927;height:51288;visibility:visible;mso-wrap-style:square">
                  <v:fill o:detectmouseclick="t"/>
                  <v:path o:connecttype="none"/>
                </v:shape>
                <v:line id="直接连接符 4" o:spid="_x0000_s1028" style="position:absolute;visibility:visible;mso-wrap-style:square" from="24356,6555" to="24356,23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path arrowok="f"/>
                  <o:lock v:ext="edit" rotation="t" aspectratio="t" verticies="t"/>
                </v:line>
                <v:line id="直接连接符 5" o:spid="_x0000_s1029" style="position:absolute;visibility:visible;mso-wrap-style:square" from="24356,12874" to="31310,1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path arrowok="f"/>
                  <o:lock v:ext="edit" rotation="t" aspectratio="t" verticies="t"/>
                </v:line>
                <v:line id="直接连接符 6" o:spid="_x0000_s1030" style="position:absolute;visibility:visible;mso-wrap-style:square" from="24356,23223" to="24356,3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path arrowok="f"/>
                  <o:lock v:ext="edit" rotation="t" aspectratio="t" verticies="t"/>
                </v:line>
                <v:line id="直接连接符 9" o:spid="_x0000_s1031" style="position:absolute;visibility:visible;mso-wrap-style:square" from="24356,31643" to="30002,31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path arrowok="f"/>
                  <o:lock v:ext="edit" rotation="t" aspectratio="t" verticies="t"/>
                </v:lin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7" o:spid="_x0000_s1032" type="#_x0000_t87" style="position:absolute;left:13754;top:39111;width:3683;height:736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" adj="900">
                  <v:path arrowok="f"/>
                  <o:lock v:ext="edit" rotation="t" aspectratio="t" verticies="t" text="t" shapetype="t"/>
                </v:shape>
                <v:shapetype id="_x0000_t202" coordsize="21600,21600" o:spt="202" path="m,l,21600r21600,l21600,xe">
                  <v:stroke joinstyle="miter"/>
                  <v:path gradientshapeok="t" o:connecttype="rect"/>
                </v:shapetype>
                <v:shape id="文本框 2" o:spid="_x0000_s1033" type="#_x0000_t202" style="position:absolute;left:8523;top:904;width:33909;height:5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o:lock v:ext="edit" rotation="t" aspectratio="t" verticies="t" text="t" shapetype="t"/>
                  <v:textbox>
                    <w:txbxContent>
                      <w:p w14:paraId="672E8E40" w14:textId="6E0E3DDF" w:rsidR="0077659C" w:rsidRPr="00017126" w:rsidRDefault="0077659C" w:rsidP="0077659C">
                        <w:pPr>
                          <w:rPr>
                            <w:sz w:val="18"/>
                          </w:rPr>
                        </w:pPr>
                        <w:r>
                          <w:t>Screening of suspected patients with clinical manifestations consistent with IBS</w:t>
                        </w:r>
                        <w:r>
                          <w:t>-D</w:t>
                        </w:r>
                        <w:r>
                          <w:t xml:space="preserve"> in the outpatient department.</w:t>
                        </w:r>
                      </w:p>
                    </w:txbxContent>
                  </v:textbox>
                </v:shape>
                <v:shape id="文本框 2" o:spid="_x0000_s1034" type="#_x0000_t202" style="position:absolute;left:30002;top:8025;width:24860;height:13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o:lock v:ext="edit" rotation="t" aspectratio="t" verticies="t" text="t" shapetype="t"/>
                  <v:textbox>
                    <w:txbxContent>
                      <w:p w14:paraId="4740031C" w14:textId="77777777" w:rsidR="00D43D0A" w:rsidRPr="00D43D0A" w:rsidRDefault="00D43D0A" w:rsidP="00D43D0A">
                        <w:pPr>
                          <w:jc w:val="both"/>
                          <w:rPr>
                            <w:kern w:val="2"/>
                            <w:sz w:val="18"/>
                            <w:szCs w:val="18"/>
                          </w:rPr>
                        </w:pPr>
                        <w:r w:rsidRPr="00D43D0A">
                          <w:rPr>
                            <w:kern w:val="2"/>
                            <w:sz w:val="18"/>
                            <w:szCs w:val="18"/>
                          </w:rPr>
                          <w:t>The following suspected patients were excluded:</w:t>
                        </w:r>
                      </w:p>
                      <w:p w14:paraId="7DC42927" w14:textId="77777777" w:rsidR="00D43D0A" w:rsidRPr="00D43D0A" w:rsidRDefault="00D43D0A" w:rsidP="00D43D0A">
                        <w:pPr>
                          <w:pStyle w:val="aa"/>
                          <w:numPr>
                            <w:ilvl w:val="0"/>
                            <w:numId w:val="15"/>
                          </w:numPr>
                          <w:ind w:firstLineChars="0"/>
                          <w:jc w:val="both"/>
                          <w:rPr>
                            <w:rFonts w:ascii="Times New Roman" w:hAnsi="Times New Roman" w:cs="Times New Roman"/>
                            <w:kern w:val="2"/>
                            <w:sz w:val="18"/>
                            <w:szCs w:val="18"/>
                          </w:rPr>
                        </w:pPr>
                        <w:r w:rsidRPr="00D43D0A">
                          <w:rPr>
                            <w:rFonts w:ascii="Times New Roman" w:hAnsi="Times New Roman" w:cs="Times New Roman"/>
                            <w:kern w:val="2"/>
                            <w:sz w:val="18"/>
                            <w:szCs w:val="18"/>
                          </w:rPr>
                          <w:t>Abnormal findings on colonoscopy;</w:t>
                        </w:r>
                      </w:p>
                      <w:p w14:paraId="696BB128" w14:textId="77777777" w:rsidR="00D43D0A" w:rsidRPr="00D43D0A" w:rsidRDefault="00D43D0A" w:rsidP="00D43D0A">
                        <w:pPr>
                          <w:pStyle w:val="aa"/>
                          <w:numPr>
                            <w:ilvl w:val="0"/>
                            <w:numId w:val="15"/>
                          </w:numPr>
                          <w:ind w:firstLineChars="0"/>
                          <w:jc w:val="both"/>
                          <w:rPr>
                            <w:rFonts w:ascii="Times New Roman" w:hAnsi="Times New Roman" w:cs="Times New Roman"/>
                            <w:kern w:val="2"/>
                            <w:sz w:val="18"/>
                            <w:szCs w:val="18"/>
                          </w:rPr>
                        </w:pPr>
                        <w:r w:rsidRPr="00D43D0A">
                          <w:rPr>
                            <w:rFonts w:ascii="Times New Roman" w:hAnsi="Times New Roman" w:cs="Times New Roman"/>
                            <w:kern w:val="2"/>
                            <w:sz w:val="18"/>
                            <w:szCs w:val="18"/>
                          </w:rPr>
                          <w:t>Presence of endocrine or metabolic diseases;</w:t>
                        </w:r>
                      </w:p>
                      <w:p w14:paraId="63782C43" w14:textId="77777777" w:rsidR="00D43D0A" w:rsidRPr="00D43D0A" w:rsidRDefault="00D43D0A" w:rsidP="00D43D0A">
                        <w:pPr>
                          <w:pStyle w:val="aa"/>
                          <w:numPr>
                            <w:ilvl w:val="0"/>
                            <w:numId w:val="15"/>
                          </w:numPr>
                          <w:ind w:firstLineChars="0"/>
                          <w:jc w:val="both"/>
                          <w:rPr>
                            <w:rFonts w:ascii="Times New Roman" w:hAnsi="Times New Roman" w:cs="Times New Roman"/>
                            <w:kern w:val="2"/>
                            <w:sz w:val="18"/>
                            <w:szCs w:val="18"/>
                          </w:rPr>
                        </w:pPr>
                        <w:r w:rsidRPr="00D43D0A">
                          <w:rPr>
                            <w:rFonts w:ascii="Times New Roman" w:hAnsi="Times New Roman" w:cs="Times New Roman"/>
                            <w:kern w:val="2"/>
                            <w:sz w:val="18"/>
                            <w:szCs w:val="18"/>
                          </w:rPr>
                          <w:t>History of pelvic or abdominal surgery;</w:t>
                        </w:r>
                      </w:p>
                      <w:p w14:paraId="1B1D826F" w14:textId="04CC97B2" w:rsidR="0077659C" w:rsidRPr="00D43D0A" w:rsidRDefault="00D43D0A" w:rsidP="00D43D0A">
                        <w:pPr>
                          <w:pStyle w:val="aa"/>
                          <w:numPr>
                            <w:ilvl w:val="0"/>
                            <w:numId w:val="15"/>
                          </w:numPr>
                          <w:ind w:firstLineChars="0"/>
                          <w:jc w:val="both"/>
                          <w:rPr>
                            <w:rFonts w:ascii="Times New Roman" w:hAnsi="Times New Roman" w:cs="Times New Roman" w:hint="eastAsia"/>
                            <w:kern w:val="2"/>
                            <w:sz w:val="18"/>
                            <w:szCs w:val="18"/>
                          </w:rPr>
                        </w:pPr>
                        <w:r w:rsidRPr="00D43D0A">
                          <w:rPr>
                            <w:rFonts w:ascii="Times New Roman" w:hAnsi="Times New Roman" w:cs="Times New Roman"/>
                            <w:kern w:val="2"/>
                            <w:sz w:val="18"/>
                            <w:szCs w:val="18"/>
                          </w:rPr>
                          <w:t>Age over 70 years or under 18 years.</w:t>
                        </w:r>
                      </w:p>
                    </w:txbxContent>
                  </v:textbox>
                </v:shape>
                <v:shape id="文本框 2" o:spid="_x0000_s1035" type="#_x0000_t202" style="position:absolute;left:287;top:23050;width:49337;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o:lock v:ext="edit" rotation="t" aspectratio="t" verticies="t" text="t" shapetype="t"/>
                  <v:textbox>
                    <w:txbxContent>
                      <w:p w14:paraId="56219F9C" w14:textId="47DE31D0" w:rsidR="0077659C" w:rsidRPr="00017126" w:rsidRDefault="00D43D0A" w:rsidP="0077659C">
                        <w:pPr>
                          <w:rPr>
                            <w:sz w:val="18"/>
                          </w:rPr>
                        </w:pPr>
                        <w:r>
                          <w:t>Patients with D-IBS were selected based on the Rome III criteria and the Bristol stool scale.</w:t>
                        </w:r>
                      </w:p>
                    </w:txbxContent>
                  </v:textbox>
                </v:shape>
                <v:shape id="文本框 2" o:spid="_x0000_s1036" type="#_x0000_t202" style="position:absolute;left:30002;top:28194;width:24860;height:7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o:lock v:ext="edit" rotation="t" aspectratio="t" verticies="t" text="t" shapetype="t"/>
                  <v:textbox>
                    <w:txbxContent>
                      <w:p w14:paraId="62F501DB" w14:textId="32474341" w:rsidR="0077659C" w:rsidRPr="00017126" w:rsidRDefault="00D43D0A" w:rsidP="0077659C">
                        <w:pPr>
                          <w:rPr>
                            <w:sz w:val="18"/>
                          </w:rPr>
                        </w:pPr>
                        <w:r>
                          <w:t>Signing the informed consent form for study enrollment and the informed consent form for colonoscopy.</w:t>
                        </w:r>
                      </w:p>
                    </w:txbxContent>
                  </v:textbox>
                </v:shape>
                <v:shape id="文本框 2" o:spid="_x0000_s1037" type="#_x0000_t202" style="position:absolute;left:287;top:31906;width:14856;height:90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o:lock v:ext="edit" rotation="t" aspectratio="t" verticies="t" text="t" shapetype="t"/>
                  <v:textbox>
                    <w:txbxContent>
                      <w:p w14:paraId="6C5514C2" w14:textId="5166AC66" w:rsidR="0077659C" w:rsidRPr="00017126" w:rsidRDefault="001D16C9" w:rsidP="0077659C">
                        <w:pPr>
                          <w:rPr>
                            <w:sz w:val="18"/>
                          </w:rPr>
                        </w:pPr>
                        <w:r>
                          <w:t>After signing the consent form, the healthy control group will undergo colonoscopy.</w:t>
                        </w:r>
                      </w:p>
                    </w:txbxContent>
                  </v:textbox>
                </v:shape>
                <v:shape id="文本框 2" o:spid="_x0000_s1038" type="#_x0000_t202" style="position:absolute;left:16455;top:36226;width:14979;height:4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o:lock v:ext="edit" rotation="t" aspectratio="t" verticies="t" text="t" shapetype="t"/>
                  <v:textbox>
                    <w:txbxContent>
                      <w:p w14:paraId="170A4D64" w14:textId="764F3DBE" w:rsidR="0077659C" w:rsidRPr="00017126" w:rsidRDefault="001D16C9" w:rsidP="0077659C">
                        <w:pPr>
                          <w:rPr>
                            <w:sz w:val="18"/>
                          </w:rPr>
                        </w:pPr>
                        <w:r>
                          <w:t>Colonoscopy</w:t>
                        </w:r>
                      </w:p>
                    </w:txbxContent>
                  </v:textbox>
                </v:shape>
                <v:shape id="文本框 2" o:spid="_x0000_s1039" type="#_x0000_t202" style="position:absolute;left:379;top:44628;width:31909;height:5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o:lock v:ext="edit" rotation="t" aspectratio="t" verticies="t" text="t" shapetype="t"/>
                  <v:textbox>
                    <w:txbxContent>
                      <w:p w14:paraId="0147B300" w14:textId="65BFC3F0" w:rsidR="0077659C" w:rsidRPr="00017126" w:rsidRDefault="001D16C9" w:rsidP="0077659C">
                        <w:pPr>
                          <w:rPr>
                            <w:sz w:val="18"/>
                          </w:rPr>
                        </w:pPr>
                        <w:r>
                          <w:t>Retrieve mucosal samples from the cecum, perform ITS sequencing, and conduct microbial community analysis.</w:t>
                        </w:r>
                      </w:p>
                    </w:txbxContent>
                  </v:textbox>
                </v:shape>
                <w10:anchorlock/>
              </v:group>
            </w:pict>
          </mc:Fallback>
        </mc:AlternateContent>
      </w:r>
    </w:p>
    <w:p w14:paraId="71D65B24" w14:textId="0479DA75" w:rsidR="00F00450" w:rsidRPr="001D16C9" w:rsidRDefault="001D16C9" w:rsidP="001D16C9">
      <w:pPr>
        <w:pStyle w:val="a8"/>
        <w:rPr>
          <w:rFonts w:ascii="Times New Roman" w:hAnsi="Times New Roman"/>
        </w:rPr>
      </w:pPr>
      <w:r w:rsidRPr="001D16C9">
        <w:rPr>
          <w:rFonts w:ascii="Times New Roman" w:hAnsi="Times New Roman"/>
        </w:rPr>
        <w:t>The screening of patients is conducted in the outpatient department by gastroenterologists. The informed consent form and questionnaire survey are completed by the research personnel of this study. Specimen collection is performed by endoscopists in the endoscopy center, while subsequent sequencing and microbial community analysis are conducted in the laboratory by the research team.</w:t>
      </w:r>
    </w:p>
    <w:sectPr w:rsidR="00F00450" w:rsidRPr="001D16C9" w:rsidSect="00F00450">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C35AB" w14:textId="77777777" w:rsidR="00256CCA" w:rsidRDefault="00256CCA" w:rsidP="00F00450">
      <w:r>
        <w:separator/>
      </w:r>
    </w:p>
  </w:endnote>
  <w:endnote w:type="continuationSeparator" w:id="0">
    <w:p w14:paraId="07BC55BC" w14:textId="77777777" w:rsidR="00256CCA" w:rsidRDefault="00256CCA" w:rsidP="00F00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3046780"/>
      <w:docPartObj>
        <w:docPartGallery w:val="Page Numbers (Bottom of Page)"/>
        <w:docPartUnique/>
      </w:docPartObj>
    </w:sdtPr>
    <w:sdtEndPr/>
    <w:sdtContent>
      <w:p w14:paraId="5ACD53E8" w14:textId="77777777" w:rsidR="00F00450" w:rsidRDefault="00F00450">
        <w:pPr>
          <w:pStyle w:val="a5"/>
          <w:jc w:val="center"/>
        </w:pPr>
        <w:r>
          <w:fldChar w:fldCharType="begin"/>
        </w:r>
        <w:r>
          <w:instrText>PAGE   \* MERGEFORMAT</w:instrText>
        </w:r>
        <w:r>
          <w:fldChar w:fldCharType="separate"/>
        </w:r>
        <w:r>
          <w:rPr>
            <w:lang w:val="zh-CN"/>
          </w:rPr>
          <w:t>2</w:t>
        </w:r>
        <w:r>
          <w:fldChar w:fldCharType="end"/>
        </w:r>
      </w:p>
    </w:sdtContent>
  </w:sdt>
  <w:p w14:paraId="1218BF94" w14:textId="77777777" w:rsidR="00F00450" w:rsidRDefault="00F0045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C56EE" w14:textId="77777777" w:rsidR="00256CCA" w:rsidRDefault="00256CCA" w:rsidP="00F00450">
      <w:r>
        <w:separator/>
      </w:r>
    </w:p>
  </w:footnote>
  <w:footnote w:type="continuationSeparator" w:id="0">
    <w:p w14:paraId="604628A3" w14:textId="77777777" w:rsidR="00256CCA" w:rsidRDefault="00256CCA" w:rsidP="00F00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65168"/>
    <w:multiLevelType w:val="hybridMultilevel"/>
    <w:tmpl w:val="B5A85D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9F7452"/>
    <w:multiLevelType w:val="multilevel"/>
    <w:tmpl w:val="9D263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154FE3"/>
    <w:multiLevelType w:val="hybridMultilevel"/>
    <w:tmpl w:val="D696E1C2"/>
    <w:lvl w:ilvl="0" w:tplc="04090009">
      <w:start w:val="1"/>
      <w:numFmt w:val="bullet"/>
      <w:lvlText w:val=""/>
      <w:lvlJc w:val="left"/>
      <w:pPr>
        <w:ind w:left="780" w:hanging="420"/>
      </w:pPr>
      <w:rPr>
        <w:rFonts w:ascii="Wingdings" w:hAnsi="Wingdings" w:hint="default"/>
      </w:rPr>
    </w:lvl>
    <w:lvl w:ilvl="1" w:tplc="9DA8A24E" w:tentative="1">
      <w:start w:val="1"/>
      <w:numFmt w:val="bullet"/>
      <w:lvlText w:val=""/>
      <w:lvlJc w:val="left"/>
      <w:pPr>
        <w:tabs>
          <w:tab w:val="num" w:pos="1440"/>
        </w:tabs>
        <w:ind w:left="1440" w:hanging="360"/>
      </w:pPr>
      <w:rPr>
        <w:rFonts w:ascii="Wingdings" w:hAnsi="Wingdings" w:hint="default"/>
      </w:rPr>
    </w:lvl>
    <w:lvl w:ilvl="2" w:tplc="2206CBE4" w:tentative="1">
      <w:start w:val="1"/>
      <w:numFmt w:val="bullet"/>
      <w:lvlText w:val=""/>
      <w:lvlJc w:val="left"/>
      <w:pPr>
        <w:tabs>
          <w:tab w:val="num" w:pos="2160"/>
        </w:tabs>
        <w:ind w:left="2160" w:hanging="360"/>
      </w:pPr>
      <w:rPr>
        <w:rFonts w:ascii="Wingdings" w:hAnsi="Wingdings" w:hint="default"/>
      </w:rPr>
    </w:lvl>
    <w:lvl w:ilvl="3" w:tplc="9EDA84BE" w:tentative="1">
      <w:start w:val="1"/>
      <w:numFmt w:val="bullet"/>
      <w:lvlText w:val=""/>
      <w:lvlJc w:val="left"/>
      <w:pPr>
        <w:tabs>
          <w:tab w:val="num" w:pos="2880"/>
        </w:tabs>
        <w:ind w:left="2880" w:hanging="360"/>
      </w:pPr>
      <w:rPr>
        <w:rFonts w:ascii="Wingdings" w:hAnsi="Wingdings" w:hint="default"/>
      </w:rPr>
    </w:lvl>
    <w:lvl w:ilvl="4" w:tplc="E33ACEC2" w:tentative="1">
      <w:start w:val="1"/>
      <w:numFmt w:val="bullet"/>
      <w:lvlText w:val=""/>
      <w:lvlJc w:val="left"/>
      <w:pPr>
        <w:tabs>
          <w:tab w:val="num" w:pos="3600"/>
        </w:tabs>
        <w:ind w:left="3600" w:hanging="360"/>
      </w:pPr>
      <w:rPr>
        <w:rFonts w:ascii="Wingdings" w:hAnsi="Wingdings" w:hint="default"/>
      </w:rPr>
    </w:lvl>
    <w:lvl w:ilvl="5" w:tplc="77D6E58C" w:tentative="1">
      <w:start w:val="1"/>
      <w:numFmt w:val="bullet"/>
      <w:lvlText w:val=""/>
      <w:lvlJc w:val="left"/>
      <w:pPr>
        <w:tabs>
          <w:tab w:val="num" w:pos="4320"/>
        </w:tabs>
        <w:ind w:left="4320" w:hanging="360"/>
      </w:pPr>
      <w:rPr>
        <w:rFonts w:ascii="Wingdings" w:hAnsi="Wingdings" w:hint="default"/>
      </w:rPr>
    </w:lvl>
    <w:lvl w:ilvl="6" w:tplc="CD0CD026" w:tentative="1">
      <w:start w:val="1"/>
      <w:numFmt w:val="bullet"/>
      <w:lvlText w:val=""/>
      <w:lvlJc w:val="left"/>
      <w:pPr>
        <w:tabs>
          <w:tab w:val="num" w:pos="5040"/>
        </w:tabs>
        <w:ind w:left="5040" w:hanging="360"/>
      </w:pPr>
      <w:rPr>
        <w:rFonts w:ascii="Wingdings" w:hAnsi="Wingdings" w:hint="default"/>
      </w:rPr>
    </w:lvl>
    <w:lvl w:ilvl="7" w:tplc="FD66E0A4" w:tentative="1">
      <w:start w:val="1"/>
      <w:numFmt w:val="bullet"/>
      <w:lvlText w:val=""/>
      <w:lvlJc w:val="left"/>
      <w:pPr>
        <w:tabs>
          <w:tab w:val="num" w:pos="5760"/>
        </w:tabs>
        <w:ind w:left="5760" w:hanging="360"/>
      </w:pPr>
      <w:rPr>
        <w:rFonts w:ascii="Wingdings" w:hAnsi="Wingdings" w:hint="default"/>
      </w:rPr>
    </w:lvl>
    <w:lvl w:ilvl="8" w:tplc="8564BCF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C1C9F"/>
    <w:multiLevelType w:val="hybridMultilevel"/>
    <w:tmpl w:val="5D96BAFA"/>
    <w:lvl w:ilvl="0" w:tplc="FAB4530E">
      <w:start w:val="1"/>
      <w:numFmt w:val="decimalEnclosedCircle"/>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B212C18"/>
    <w:multiLevelType w:val="hybridMultilevel"/>
    <w:tmpl w:val="6832A268"/>
    <w:lvl w:ilvl="0" w:tplc="04090001">
      <w:start w:val="1"/>
      <w:numFmt w:val="bullet"/>
      <w:lvlText w:val=""/>
      <w:lvlJc w:val="left"/>
      <w:pPr>
        <w:tabs>
          <w:tab w:val="num" w:pos="720"/>
        </w:tabs>
        <w:ind w:left="720" w:hanging="360"/>
      </w:pPr>
      <w:rPr>
        <w:rFonts w:ascii="Wingdings" w:hAnsi="Wingdings" w:hint="default"/>
      </w:rPr>
    </w:lvl>
    <w:lvl w:ilvl="1" w:tplc="D03C3FB4" w:tentative="1">
      <w:start w:val="1"/>
      <w:numFmt w:val="decimalEnclosedCircle"/>
      <w:lvlText w:val="%2"/>
      <w:lvlJc w:val="left"/>
      <w:pPr>
        <w:tabs>
          <w:tab w:val="num" w:pos="1440"/>
        </w:tabs>
        <w:ind w:left="1440" w:hanging="360"/>
      </w:pPr>
    </w:lvl>
    <w:lvl w:ilvl="2" w:tplc="28A00FD8" w:tentative="1">
      <w:start w:val="1"/>
      <w:numFmt w:val="decimalEnclosedCircle"/>
      <w:lvlText w:val="%3"/>
      <w:lvlJc w:val="left"/>
      <w:pPr>
        <w:tabs>
          <w:tab w:val="num" w:pos="2160"/>
        </w:tabs>
        <w:ind w:left="2160" w:hanging="360"/>
      </w:pPr>
    </w:lvl>
    <w:lvl w:ilvl="3" w:tplc="4C640076" w:tentative="1">
      <w:start w:val="1"/>
      <w:numFmt w:val="decimalEnclosedCircle"/>
      <w:lvlText w:val="%4"/>
      <w:lvlJc w:val="left"/>
      <w:pPr>
        <w:tabs>
          <w:tab w:val="num" w:pos="2880"/>
        </w:tabs>
        <w:ind w:left="2880" w:hanging="360"/>
      </w:pPr>
    </w:lvl>
    <w:lvl w:ilvl="4" w:tplc="2D6E5E34" w:tentative="1">
      <w:start w:val="1"/>
      <w:numFmt w:val="decimalEnclosedCircle"/>
      <w:lvlText w:val="%5"/>
      <w:lvlJc w:val="left"/>
      <w:pPr>
        <w:tabs>
          <w:tab w:val="num" w:pos="3600"/>
        </w:tabs>
        <w:ind w:left="3600" w:hanging="360"/>
      </w:pPr>
    </w:lvl>
    <w:lvl w:ilvl="5" w:tplc="57C8FBF2" w:tentative="1">
      <w:start w:val="1"/>
      <w:numFmt w:val="decimalEnclosedCircle"/>
      <w:lvlText w:val="%6"/>
      <w:lvlJc w:val="left"/>
      <w:pPr>
        <w:tabs>
          <w:tab w:val="num" w:pos="4320"/>
        </w:tabs>
        <w:ind w:left="4320" w:hanging="360"/>
      </w:pPr>
    </w:lvl>
    <w:lvl w:ilvl="6" w:tplc="031CA8DE" w:tentative="1">
      <w:start w:val="1"/>
      <w:numFmt w:val="decimalEnclosedCircle"/>
      <w:lvlText w:val="%7"/>
      <w:lvlJc w:val="left"/>
      <w:pPr>
        <w:tabs>
          <w:tab w:val="num" w:pos="5040"/>
        </w:tabs>
        <w:ind w:left="5040" w:hanging="360"/>
      </w:pPr>
    </w:lvl>
    <w:lvl w:ilvl="7" w:tplc="C5CE11C0" w:tentative="1">
      <w:start w:val="1"/>
      <w:numFmt w:val="decimalEnclosedCircle"/>
      <w:lvlText w:val="%8"/>
      <w:lvlJc w:val="left"/>
      <w:pPr>
        <w:tabs>
          <w:tab w:val="num" w:pos="5760"/>
        </w:tabs>
        <w:ind w:left="5760" w:hanging="360"/>
      </w:pPr>
    </w:lvl>
    <w:lvl w:ilvl="8" w:tplc="338E3F1E" w:tentative="1">
      <w:start w:val="1"/>
      <w:numFmt w:val="decimalEnclosedCircle"/>
      <w:lvlText w:val="%9"/>
      <w:lvlJc w:val="left"/>
      <w:pPr>
        <w:tabs>
          <w:tab w:val="num" w:pos="6480"/>
        </w:tabs>
        <w:ind w:left="6480" w:hanging="360"/>
      </w:pPr>
    </w:lvl>
  </w:abstractNum>
  <w:abstractNum w:abstractNumId="5" w15:restartNumberingAfterBreak="0">
    <w:nsid w:val="3D5C42BE"/>
    <w:multiLevelType w:val="hybridMultilevel"/>
    <w:tmpl w:val="3D8ECB74"/>
    <w:lvl w:ilvl="0" w:tplc="D8D27618">
      <w:start w:val="1"/>
      <w:numFmt w:val="bullet"/>
      <w:lvlText w:val=""/>
      <w:lvlJc w:val="left"/>
      <w:pPr>
        <w:ind w:left="420" w:hanging="420"/>
      </w:pPr>
      <w:rPr>
        <w:rFonts w:ascii="Wingdings" w:hAnsi="Wingdings" w:hint="default"/>
        <w:sz w:val="10"/>
        <w:szCs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326AB7"/>
    <w:multiLevelType w:val="hybridMultilevel"/>
    <w:tmpl w:val="305CAD1C"/>
    <w:numStyleLink w:val="3"/>
  </w:abstractNum>
  <w:abstractNum w:abstractNumId="7" w15:restartNumberingAfterBreak="0">
    <w:nsid w:val="4BFF3B95"/>
    <w:multiLevelType w:val="multilevel"/>
    <w:tmpl w:val="E968B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D12091"/>
    <w:multiLevelType w:val="multilevel"/>
    <w:tmpl w:val="1C124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A17C66"/>
    <w:multiLevelType w:val="hybridMultilevel"/>
    <w:tmpl w:val="305CAD1C"/>
    <w:styleLink w:val="3"/>
    <w:lvl w:ilvl="0" w:tplc="83CA402A">
      <w:start w:val="1"/>
      <w:numFmt w:val="bullet"/>
      <w:lvlText w:val="✓"/>
      <w:lvlJc w:val="left"/>
      <w:pPr>
        <w:tabs>
          <w:tab w:val="num" w:pos="720"/>
        </w:tabs>
        <w:ind w:left="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E523F4A">
      <w:start w:val="1"/>
      <w:numFmt w:val="bullet"/>
      <w:lvlText w:val="➢"/>
      <w:lvlJc w:val="left"/>
      <w:pPr>
        <w:tabs>
          <w:tab w:val="num" w:pos="1440"/>
        </w:tabs>
        <w:ind w:left="15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8445E72">
      <w:start w:val="1"/>
      <w:numFmt w:val="bullet"/>
      <w:lvlText w:val="➢"/>
      <w:lvlJc w:val="left"/>
      <w:pPr>
        <w:tabs>
          <w:tab w:val="num" w:pos="2160"/>
        </w:tabs>
        <w:ind w:left="22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FE7DB6">
      <w:start w:val="1"/>
      <w:numFmt w:val="bullet"/>
      <w:lvlText w:val="➢"/>
      <w:lvlJc w:val="left"/>
      <w:pPr>
        <w:tabs>
          <w:tab w:val="num" w:pos="2880"/>
        </w:tabs>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AA655A6">
      <w:start w:val="1"/>
      <w:numFmt w:val="bullet"/>
      <w:lvlText w:val="➢"/>
      <w:lvlJc w:val="left"/>
      <w:pPr>
        <w:tabs>
          <w:tab w:val="num" w:pos="3600"/>
        </w:tabs>
        <w:ind w:left="36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DD6B5D6">
      <w:start w:val="1"/>
      <w:numFmt w:val="bullet"/>
      <w:lvlText w:val="➢"/>
      <w:lvlJc w:val="left"/>
      <w:pPr>
        <w:tabs>
          <w:tab w:val="num" w:pos="4320"/>
        </w:tabs>
        <w:ind w:left="43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2B8E45C">
      <w:start w:val="1"/>
      <w:numFmt w:val="bullet"/>
      <w:lvlText w:val="➢"/>
      <w:lvlJc w:val="left"/>
      <w:pPr>
        <w:tabs>
          <w:tab w:val="num" w:pos="5040"/>
        </w:tabs>
        <w:ind w:left="5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4ECC0AE">
      <w:start w:val="1"/>
      <w:numFmt w:val="bullet"/>
      <w:lvlText w:val="➢"/>
      <w:lvlJc w:val="left"/>
      <w:pPr>
        <w:tabs>
          <w:tab w:val="num" w:pos="5760"/>
        </w:tabs>
        <w:ind w:left="58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8807C7A">
      <w:start w:val="1"/>
      <w:numFmt w:val="bullet"/>
      <w:lvlText w:val="➢"/>
      <w:lvlJc w:val="left"/>
      <w:pPr>
        <w:tabs>
          <w:tab w:val="num" w:pos="6480"/>
        </w:tabs>
        <w:ind w:left="65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54BD2B80"/>
    <w:multiLevelType w:val="multilevel"/>
    <w:tmpl w:val="29B2D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235CB5"/>
    <w:multiLevelType w:val="hybridMultilevel"/>
    <w:tmpl w:val="D5444280"/>
    <w:numStyleLink w:val="2"/>
  </w:abstractNum>
  <w:abstractNum w:abstractNumId="12" w15:restartNumberingAfterBreak="0">
    <w:nsid w:val="67AE4BF2"/>
    <w:multiLevelType w:val="multilevel"/>
    <w:tmpl w:val="B53C65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9C049D"/>
    <w:multiLevelType w:val="multilevel"/>
    <w:tmpl w:val="689C049D"/>
    <w:lvl w:ilvl="0">
      <w:start w:val="3"/>
      <w:numFmt w:val="japaneseCounting"/>
      <w:lvlText w:val="%1、"/>
      <w:lvlJc w:val="left"/>
      <w:pPr>
        <w:ind w:left="672" w:hanging="67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2C94C4A"/>
    <w:multiLevelType w:val="hybridMultilevel"/>
    <w:tmpl w:val="D5444280"/>
    <w:styleLink w:val="2"/>
    <w:lvl w:ilvl="0" w:tplc="A8A41044">
      <w:start w:val="1"/>
      <w:numFmt w:val="bullet"/>
      <w:lvlText w:val="✓"/>
      <w:lvlJc w:val="left"/>
      <w:pPr>
        <w:tabs>
          <w:tab w:val="num" w:pos="720"/>
        </w:tabs>
        <w:ind w:left="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6C4C15D8">
      <w:start w:val="1"/>
      <w:numFmt w:val="bullet"/>
      <w:lvlText w:val="➢"/>
      <w:lvlJc w:val="left"/>
      <w:pPr>
        <w:tabs>
          <w:tab w:val="num" w:pos="1440"/>
        </w:tabs>
        <w:ind w:left="15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16CA7B8">
      <w:start w:val="1"/>
      <w:numFmt w:val="bullet"/>
      <w:lvlText w:val="➢"/>
      <w:lvlJc w:val="left"/>
      <w:pPr>
        <w:tabs>
          <w:tab w:val="num" w:pos="2160"/>
        </w:tabs>
        <w:ind w:left="22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238ACD8">
      <w:start w:val="1"/>
      <w:numFmt w:val="bullet"/>
      <w:lvlText w:val="➢"/>
      <w:lvlJc w:val="left"/>
      <w:pPr>
        <w:tabs>
          <w:tab w:val="num" w:pos="2880"/>
        </w:tabs>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7890CF94">
      <w:start w:val="1"/>
      <w:numFmt w:val="bullet"/>
      <w:lvlText w:val="➢"/>
      <w:lvlJc w:val="left"/>
      <w:pPr>
        <w:tabs>
          <w:tab w:val="num" w:pos="3600"/>
        </w:tabs>
        <w:ind w:left="36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1A61F28">
      <w:start w:val="1"/>
      <w:numFmt w:val="bullet"/>
      <w:lvlText w:val="➢"/>
      <w:lvlJc w:val="left"/>
      <w:pPr>
        <w:tabs>
          <w:tab w:val="num" w:pos="4320"/>
        </w:tabs>
        <w:ind w:left="43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BD63B4E">
      <w:start w:val="1"/>
      <w:numFmt w:val="bullet"/>
      <w:lvlText w:val="➢"/>
      <w:lvlJc w:val="left"/>
      <w:pPr>
        <w:tabs>
          <w:tab w:val="num" w:pos="5040"/>
        </w:tabs>
        <w:ind w:left="5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118EC88">
      <w:start w:val="1"/>
      <w:numFmt w:val="bullet"/>
      <w:lvlText w:val="➢"/>
      <w:lvlJc w:val="left"/>
      <w:pPr>
        <w:tabs>
          <w:tab w:val="num" w:pos="5760"/>
        </w:tabs>
        <w:ind w:left="58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3B2546E">
      <w:start w:val="1"/>
      <w:numFmt w:val="bullet"/>
      <w:lvlText w:val="➢"/>
      <w:lvlJc w:val="left"/>
      <w:pPr>
        <w:tabs>
          <w:tab w:val="num" w:pos="6480"/>
        </w:tabs>
        <w:ind w:left="65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4"/>
  </w:num>
  <w:num w:numId="2">
    <w:abstractNumId w:val="11"/>
  </w:num>
  <w:num w:numId="3">
    <w:abstractNumId w:val="9"/>
  </w:num>
  <w:num w:numId="4">
    <w:abstractNumId w:val="6"/>
  </w:num>
  <w:num w:numId="5">
    <w:abstractNumId w:val="5"/>
  </w:num>
  <w:num w:numId="6">
    <w:abstractNumId w:val="2"/>
  </w:num>
  <w:num w:numId="7">
    <w:abstractNumId w:val="0"/>
  </w:num>
  <w:num w:numId="8">
    <w:abstractNumId w:val="13"/>
  </w:num>
  <w:num w:numId="9">
    <w:abstractNumId w:val="4"/>
  </w:num>
  <w:num w:numId="10">
    <w:abstractNumId w:val="1"/>
  </w:num>
  <w:num w:numId="11">
    <w:abstractNumId w:val="10"/>
  </w:num>
  <w:num w:numId="12">
    <w:abstractNumId w:val="7"/>
  </w:num>
  <w:num w:numId="13">
    <w:abstractNumId w:val="12"/>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653"/>
    <w:rsid w:val="0005215B"/>
    <w:rsid w:val="000E6A6D"/>
    <w:rsid w:val="001C7D4D"/>
    <w:rsid w:val="001D16C9"/>
    <w:rsid w:val="00256CCA"/>
    <w:rsid w:val="002A142F"/>
    <w:rsid w:val="003102BA"/>
    <w:rsid w:val="0050601E"/>
    <w:rsid w:val="005E611A"/>
    <w:rsid w:val="007369C5"/>
    <w:rsid w:val="0077659C"/>
    <w:rsid w:val="00876EB0"/>
    <w:rsid w:val="00A0496D"/>
    <w:rsid w:val="00AA78D7"/>
    <w:rsid w:val="00AD64DA"/>
    <w:rsid w:val="00B12208"/>
    <w:rsid w:val="00BD720C"/>
    <w:rsid w:val="00CC0D39"/>
    <w:rsid w:val="00D43D0A"/>
    <w:rsid w:val="00DA48F5"/>
    <w:rsid w:val="00DD45EE"/>
    <w:rsid w:val="00EC2653"/>
    <w:rsid w:val="00F00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8C2DC"/>
  <w15:chartTrackingRefBased/>
  <w15:docId w15:val="{D5E96DD5-EBEF-48E5-8B55-23FE7DEDC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0450"/>
    <w:rPr>
      <w:rFonts w:ascii="Times New Roman" w:eastAsia="宋体" w:hAnsi="Times New Roman" w:cs="Times New Roman"/>
      <w:kern w:val="0"/>
      <w:sz w:val="20"/>
      <w:szCs w:val="20"/>
    </w:rPr>
  </w:style>
  <w:style w:type="paragraph" w:styleId="1">
    <w:name w:val="heading 1"/>
    <w:basedOn w:val="a"/>
    <w:next w:val="a"/>
    <w:link w:val="10"/>
    <w:uiPriority w:val="9"/>
    <w:qFormat/>
    <w:rsid w:val="00F00450"/>
    <w:pPr>
      <w:keepNext/>
      <w:keepLines/>
      <w:spacing w:before="340" w:after="330" w:line="578" w:lineRule="auto"/>
      <w:outlineLvl w:val="0"/>
    </w:pPr>
    <w:rPr>
      <w:b/>
      <w:bCs/>
      <w:kern w:val="44"/>
      <w:sz w:val="44"/>
      <w:szCs w:val="44"/>
    </w:rPr>
  </w:style>
  <w:style w:type="paragraph" w:styleId="20">
    <w:name w:val="heading 2"/>
    <w:basedOn w:val="a"/>
    <w:next w:val="a"/>
    <w:link w:val="21"/>
    <w:uiPriority w:val="9"/>
    <w:qFormat/>
    <w:rsid w:val="00F00450"/>
    <w:pPr>
      <w:keepNext/>
      <w:keepLines/>
      <w:spacing w:before="260" w:after="260" w:line="416" w:lineRule="auto"/>
      <w:outlineLvl w:val="1"/>
    </w:pPr>
    <w:rPr>
      <w:rFonts w:ascii="Cambria" w:hAnsi="Cambria"/>
      <w:b/>
      <w:bCs/>
      <w:sz w:val="32"/>
      <w:szCs w:val="32"/>
    </w:rPr>
  </w:style>
  <w:style w:type="paragraph" w:styleId="30">
    <w:name w:val="heading 3"/>
    <w:basedOn w:val="a"/>
    <w:next w:val="a"/>
    <w:link w:val="31"/>
    <w:uiPriority w:val="9"/>
    <w:unhideWhenUsed/>
    <w:qFormat/>
    <w:rsid w:val="00A0496D"/>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A0496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1"/>
    <w:uiPriority w:val="9"/>
    <w:qFormat/>
    <w:rsid w:val="00F00450"/>
    <w:pPr>
      <w:keepNext/>
      <w:keepLines/>
      <w:spacing w:before="240" w:after="64" w:line="320" w:lineRule="auto"/>
      <w:outlineLvl w:val="5"/>
    </w:pPr>
    <w:rPr>
      <w:rFonts w:ascii="Cambria" w:hAnsi="Cambria"/>
      <w:b/>
      <w:bCs/>
      <w:sz w:val="24"/>
      <w:szCs w:val="24"/>
    </w:rPr>
  </w:style>
  <w:style w:type="paragraph" w:styleId="7">
    <w:name w:val="heading 7"/>
    <w:basedOn w:val="a"/>
    <w:next w:val="a"/>
    <w:link w:val="71"/>
    <w:uiPriority w:val="9"/>
    <w:qFormat/>
    <w:rsid w:val="00F00450"/>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04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00450"/>
    <w:rPr>
      <w:sz w:val="18"/>
      <w:szCs w:val="18"/>
    </w:rPr>
  </w:style>
  <w:style w:type="paragraph" w:styleId="a5">
    <w:name w:val="footer"/>
    <w:basedOn w:val="a"/>
    <w:link w:val="a6"/>
    <w:uiPriority w:val="99"/>
    <w:unhideWhenUsed/>
    <w:rsid w:val="00F00450"/>
    <w:pPr>
      <w:tabs>
        <w:tab w:val="center" w:pos="4153"/>
        <w:tab w:val="right" w:pos="8306"/>
      </w:tabs>
      <w:snapToGrid w:val="0"/>
    </w:pPr>
    <w:rPr>
      <w:sz w:val="18"/>
      <w:szCs w:val="18"/>
    </w:rPr>
  </w:style>
  <w:style w:type="character" w:customStyle="1" w:styleId="a6">
    <w:name w:val="页脚 字符"/>
    <w:basedOn w:val="a0"/>
    <w:link w:val="a5"/>
    <w:uiPriority w:val="99"/>
    <w:rsid w:val="00F00450"/>
    <w:rPr>
      <w:sz w:val="18"/>
      <w:szCs w:val="18"/>
    </w:rPr>
  </w:style>
  <w:style w:type="paragraph" w:customStyle="1" w:styleId="a7">
    <w:basedOn w:val="a"/>
    <w:next w:val="a"/>
    <w:uiPriority w:val="39"/>
    <w:unhideWhenUsed/>
    <w:qFormat/>
    <w:rsid w:val="00F00450"/>
    <w:pPr>
      <w:spacing w:after="100" w:line="276" w:lineRule="auto"/>
    </w:pPr>
    <w:rPr>
      <w:rFonts w:ascii="Calibri" w:hAnsi="Calibri"/>
      <w:sz w:val="22"/>
      <w:szCs w:val="22"/>
    </w:rPr>
  </w:style>
  <w:style w:type="character" w:customStyle="1" w:styleId="10">
    <w:name w:val="标题 1 字符"/>
    <w:basedOn w:val="a0"/>
    <w:link w:val="1"/>
    <w:uiPriority w:val="9"/>
    <w:rsid w:val="00F00450"/>
    <w:rPr>
      <w:rFonts w:ascii="Times New Roman" w:eastAsia="宋体" w:hAnsi="Times New Roman" w:cs="Times New Roman"/>
      <w:b/>
      <w:bCs/>
      <w:kern w:val="44"/>
      <w:sz w:val="44"/>
      <w:szCs w:val="44"/>
    </w:rPr>
  </w:style>
  <w:style w:type="paragraph" w:styleId="TOC">
    <w:name w:val="TOC Heading"/>
    <w:basedOn w:val="1"/>
    <w:next w:val="a"/>
    <w:uiPriority w:val="39"/>
    <w:qFormat/>
    <w:rsid w:val="00F00450"/>
    <w:pPr>
      <w:spacing w:before="480" w:after="0" w:line="276" w:lineRule="auto"/>
      <w:outlineLvl w:val="9"/>
    </w:pPr>
    <w:rPr>
      <w:rFonts w:ascii="Cambria" w:hAnsi="Cambria"/>
      <w:color w:val="365F91"/>
      <w:kern w:val="0"/>
      <w:sz w:val="28"/>
      <w:szCs w:val="28"/>
    </w:rPr>
  </w:style>
  <w:style w:type="character" w:customStyle="1" w:styleId="22">
    <w:name w:val="标题 2 字符"/>
    <w:basedOn w:val="a0"/>
    <w:uiPriority w:val="9"/>
    <w:semiHidden/>
    <w:rsid w:val="00F00450"/>
    <w:rPr>
      <w:rFonts w:asciiTheme="majorHAnsi" w:eastAsiaTheme="majorEastAsia" w:hAnsiTheme="majorHAnsi" w:cstheme="majorBidi"/>
      <w:b/>
      <w:bCs/>
      <w:kern w:val="0"/>
      <w:sz w:val="32"/>
      <w:szCs w:val="32"/>
    </w:rPr>
  </w:style>
  <w:style w:type="character" w:customStyle="1" w:styleId="60">
    <w:name w:val="标题 6 字符"/>
    <w:basedOn w:val="a0"/>
    <w:uiPriority w:val="9"/>
    <w:semiHidden/>
    <w:rsid w:val="00F00450"/>
    <w:rPr>
      <w:rFonts w:asciiTheme="majorHAnsi" w:eastAsiaTheme="majorEastAsia" w:hAnsiTheme="majorHAnsi" w:cstheme="majorBidi"/>
      <w:b/>
      <w:bCs/>
      <w:kern w:val="0"/>
      <w:sz w:val="24"/>
      <w:szCs w:val="24"/>
    </w:rPr>
  </w:style>
  <w:style w:type="character" w:customStyle="1" w:styleId="21">
    <w:name w:val="标题 2 字符1"/>
    <w:link w:val="20"/>
    <w:uiPriority w:val="9"/>
    <w:rsid w:val="00F00450"/>
    <w:rPr>
      <w:rFonts w:ascii="Cambria" w:eastAsia="宋体" w:hAnsi="Cambria" w:cs="Times New Roman"/>
      <w:b/>
      <w:bCs/>
      <w:kern w:val="0"/>
      <w:sz w:val="32"/>
      <w:szCs w:val="32"/>
    </w:rPr>
  </w:style>
  <w:style w:type="character" w:customStyle="1" w:styleId="61">
    <w:name w:val="标题 6 字符1"/>
    <w:link w:val="6"/>
    <w:uiPriority w:val="9"/>
    <w:rsid w:val="00F00450"/>
    <w:rPr>
      <w:rFonts w:ascii="Cambria" w:eastAsia="宋体" w:hAnsi="Cambria" w:cs="Times New Roman"/>
      <w:b/>
      <w:bCs/>
      <w:kern w:val="0"/>
      <w:sz w:val="24"/>
      <w:szCs w:val="24"/>
    </w:rPr>
  </w:style>
  <w:style w:type="character" w:customStyle="1" w:styleId="70">
    <w:name w:val="标题 7 字符"/>
    <w:basedOn w:val="a0"/>
    <w:uiPriority w:val="9"/>
    <w:semiHidden/>
    <w:rsid w:val="00F00450"/>
    <w:rPr>
      <w:rFonts w:ascii="Times New Roman" w:eastAsia="宋体" w:hAnsi="Times New Roman" w:cs="Times New Roman"/>
      <w:b/>
      <w:bCs/>
      <w:kern w:val="0"/>
      <w:sz w:val="24"/>
      <w:szCs w:val="24"/>
    </w:rPr>
  </w:style>
  <w:style w:type="character" w:customStyle="1" w:styleId="71">
    <w:name w:val="标题 7 字符1"/>
    <w:link w:val="7"/>
    <w:uiPriority w:val="9"/>
    <w:rsid w:val="00F00450"/>
    <w:rPr>
      <w:rFonts w:ascii="Times New Roman" w:eastAsia="宋体" w:hAnsi="Times New Roman" w:cs="Times New Roman"/>
      <w:b/>
      <w:bCs/>
      <w:kern w:val="0"/>
      <w:sz w:val="24"/>
      <w:szCs w:val="24"/>
    </w:rPr>
  </w:style>
  <w:style w:type="paragraph" w:styleId="a8">
    <w:name w:val="Normal (Web)"/>
    <w:basedOn w:val="a"/>
    <w:uiPriority w:val="99"/>
    <w:unhideWhenUsed/>
    <w:rsid w:val="00F00450"/>
    <w:pPr>
      <w:spacing w:before="100" w:beforeAutospacing="1" w:after="100" w:afterAutospacing="1"/>
    </w:pPr>
    <w:rPr>
      <w:rFonts w:ascii="Arial Unicode MS" w:hAnsi="Arial Unicode MS"/>
      <w:sz w:val="24"/>
      <w:szCs w:val="24"/>
    </w:rPr>
  </w:style>
  <w:style w:type="paragraph" w:customStyle="1" w:styleId="A9">
    <w:name w:val="正文 A"/>
    <w:rsid w:val="00F00450"/>
    <w:pPr>
      <w:pBdr>
        <w:top w:val="nil"/>
        <w:left w:val="nil"/>
        <w:bottom w:val="nil"/>
        <w:right w:val="nil"/>
        <w:between w:val="nil"/>
        <w:bar w:val="nil"/>
      </w:pBdr>
    </w:pPr>
    <w:rPr>
      <w:rFonts w:ascii="Times New Roman" w:eastAsia="Times New Roman" w:hAnsi="Times New Roman" w:cs="Times New Roman"/>
      <w:color w:val="000000"/>
      <w:kern w:val="0"/>
      <w:sz w:val="20"/>
      <w:szCs w:val="20"/>
      <w:u w:color="000000"/>
      <w:bdr w:val="nil"/>
    </w:rPr>
  </w:style>
  <w:style w:type="numbering" w:customStyle="1" w:styleId="2">
    <w:name w:val="已导入的样式“2”"/>
    <w:rsid w:val="00F00450"/>
    <w:pPr>
      <w:numPr>
        <w:numId w:val="1"/>
      </w:numPr>
    </w:pPr>
  </w:style>
  <w:style w:type="numbering" w:customStyle="1" w:styleId="3">
    <w:name w:val="已导入的样式“3”"/>
    <w:rsid w:val="00F00450"/>
    <w:pPr>
      <w:numPr>
        <w:numId w:val="3"/>
      </w:numPr>
    </w:pPr>
  </w:style>
  <w:style w:type="paragraph" w:styleId="aa">
    <w:name w:val="List Paragraph"/>
    <w:basedOn w:val="a"/>
    <w:uiPriority w:val="34"/>
    <w:qFormat/>
    <w:rsid w:val="00F00450"/>
    <w:pPr>
      <w:ind w:firstLineChars="200" w:firstLine="420"/>
    </w:pPr>
    <w:rPr>
      <w:rFonts w:ascii="宋体" w:hAnsi="宋体" w:cs="宋体"/>
      <w:sz w:val="24"/>
      <w:szCs w:val="24"/>
    </w:rPr>
  </w:style>
  <w:style w:type="character" w:customStyle="1" w:styleId="3Char1">
    <w:name w:val="标题 3 Char1"/>
    <w:aliases w:val="(eg 3.2.1) Char1,(eg 1.1.1) Char1"/>
    <w:semiHidden/>
    <w:locked/>
    <w:rsid w:val="00F00450"/>
    <w:rPr>
      <w:rFonts w:ascii="Times New Roman" w:eastAsia="宋体" w:hAnsi="Times New Roman" w:cs="Times New Roman"/>
      <w:b/>
      <w:bCs/>
      <w:sz w:val="24"/>
      <w:lang w:val="en-GB"/>
    </w:rPr>
  </w:style>
  <w:style w:type="character" w:customStyle="1" w:styleId="Char">
    <w:name w:val="页眉 Char"/>
    <w:uiPriority w:val="99"/>
    <w:semiHidden/>
    <w:rsid w:val="00F00450"/>
    <w:rPr>
      <w:rFonts w:ascii="Tahoma" w:hAnsi="Tahoma"/>
      <w:sz w:val="18"/>
      <w:szCs w:val="18"/>
    </w:rPr>
  </w:style>
  <w:style w:type="character" w:customStyle="1" w:styleId="31">
    <w:name w:val="标题 3 字符"/>
    <w:basedOn w:val="a0"/>
    <w:link w:val="30"/>
    <w:uiPriority w:val="9"/>
    <w:rsid w:val="00A0496D"/>
    <w:rPr>
      <w:rFonts w:ascii="Times New Roman" w:eastAsia="宋体" w:hAnsi="Times New Roman" w:cs="Times New Roman"/>
      <w:b/>
      <w:bCs/>
      <w:kern w:val="0"/>
      <w:sz w:val="32"/>
      <w:szCs w:val="32"/>
    </w:rPr>
  </w:style>
  <w:style w:type="character" w:customStyle="1" w:styleId="40">
    <w:name w:val="标题 4 字符"/>
    <w:basedOn w:val="a0"/>
    <w:link w:val="4"/>
    <w:uiPriority w:val="9"/>
    <w:rsid w:val="00A0496D"/>
    <w:rPr>
      <w:rFonts w:asciiTheme="majorHAnsi" w:eastAsiaTheme="majorEastAsia" w:hAnsiTheme="majorHAnsi" w:cstheme="majorBidi"/>
      <w:b/>
      <w:bCs/>
      <w:kern w:val="0"/>
      <w:sz w:val="28"/>
      <w:szCs w:val="28"/>
    </w:rPr>
  </w:style>
  <w:style w:type="character" w:styleId="ab">
    <w:name w:val="Strong"/>
    <w:basedOn w:val="a0"/>
    <w:uiPriority w:val="22"/>
    <w:qFormat/>
    <w:rsid w:val="001C7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168797">
      <w:bodyDiv w:val="1"/>
      <w:marLeft w:val="0"/>
      <w:marRight w:val="0"/>
      <w:marTop w:val="0"/>
      <w:marBottom w:val="0"/>
      <w:divBdr>
        <w:top w:val="none" w:sz="0" w:space="0" w:color="auto"/>
        <w:left w:val="none" w:sz="0" w:space="0" w:color="auto"/>
        <w:bottom w:val="none" w:sz="0" w:space="0" w:color="auto"/>
        <w:right w:val="none" w:sz="0" w:space="0" w:color="auto"/>
      </w:divBdr>
    </w:div>
    <w:div w:id="288902116">
      <w:bodyDiv w:val="1"/>
      <w:marLeft w:val="0"/>
      <w:marRight w:val="0"/>
      <w:marTop w:val="0"/>
      <w:marBottom w:val="0"/>
      <w:divBdr>
        <w:top w:val="none" w:sz="0" w:space="0" w:color="auto"/>
        <w:left w:val="none" w:sz="0" w:space="0" w:color="auto"/>
        <w:bottom w:val="none" w:sz="0" w:space="0" w:color="auto"/>
        <w:right w:val="none" w:sz="0" w:space="0" w:color="auto"/>
      </w:divBdr>
    </w:div>
    <w:div w:id="355469763">
      <w:bodyDiv w:val="1"/>
      <w:marLeft w:val="0"/>
      <w:marRight w:val="0"/>
      <w:marTop w:val="0"/>
      <w:marBottom w:val="0"/>
      <w:divBdr>
        <w:top w:val="none" w:sz="0" w:space="0" w:color="auto"/>
        <w:left w:val="none" w:sz="0" w:space="0" w:color="auto"/>
        <w:bottom w:val="none" w:sz="0" w:space="0" w:color="auto"/>
        <w:right w:val="none" w:sz="0" w:space="0" w:color="auto"/>
      </w:divBdr>
    </w:div>
    <w:div w:id="445806920">
      <w:bodyDiv w:val="1"/>
      <w:marLeft w:val="0"/>
      <w:marRight w:val="0"/>
      <w:marTop w:val="0"/>
      <w:marBottom w:val="0"/>
      <w:divBdr>
        <w:top w:val="none" w:sz="0" w:space="0" w:color="auto"/>
        <w:left w:val="none" w:sz="0" w:space="0" w:color="auto"/>
        <w:bottom w:val="none" w:sz="0" w:space="0" w:color="auto"/>
        <w:right w:val="none" w:sz="0" w:space="0" w:color="auto"/>
      </w:divBdr>
    </w:div>
    <w:div w:id="538473795">
      <w:bodyDiv w:val="1"/>
      <w:marLeft w:val="0"/>
      <w:marRight w:val="0"/>
      <w:marTop w:val="0"/>
      <w:marBottom w:val="0"/>
      <w:divBdr>
        <w:top w:val="none" w:sz="0" w:space="0" w:color="auto"/>
        <w:left w:val="none" w:sz="0" w:space="0" w:color="auto"/>
        <w:bottom w:val="none" w:sz="0" w:space="0" w:color="auto"/>
        <w:right w:val="none" w:sz="0" w:space="0" w:color="auto"/>
      </w:divBdr>
    </w:div>
    <w:div w:id="593363921">
      <w:bodyDiv w:val="1"/>
      <w:marLeft w:val="0"/>
      <w:marRight w:val="0"/>
      <w:marTop w:val="0"/>
      <w:marBottom w:val="0"/>
      <w:divBdr>
        <w:top w:val="none" w:sz="0" w:space="0" w:color="auto"/>
        <w:left w:val="none" w:sz="0" w:space="0" w:color="auto"/>
        <w:bottom w:val="none" w:sz="0" w:space="0" w:color="auto"/>
        <w:right w:val="none" w:sz="0" w:space="0" w:color="auto"/>
      </w:divBdr>
    </w:div>
    <w:div w:id="956521048">
      <w:bodyDiv w:val="1"/>
      <w:marLeft w:val="0"/>
      <w:marRight w:val="0"/>
      <w:marTop w:val="0"/>
      <w:marBottom w:val="0"/>
      <w:divBdr>
        <w:top w:val="none" w:sz="0" w:space="0" w:color="auto"/>
        <w:left w:val="none" w:sz="0" w:space="0" w:color="auto"/>
        <w:bottom w:val="none" w:sz="0" w:space="0" w:color="auto"/>
        <w:right w:val="none" w:sz="0" w:space="0" w:color="auto"/>
      </w:divBdr>
    </w:div>
    <w:div w:id="996806861">
      <w:bodyDiv w:val="1"/>
      <w:marLeft w:val="0"/>
      <w:marRight w:val="0"/>
      <w:marTop w:val="0"/>
      <w:marBottom w:val="0"/>
      <w:divBdr>
        <w:top w:val="none" w:sz="0" w:space="0" w:color="auto"/>
        <w:left w:val="none" w:sz="0" w:space="0" w:color="auto"/>
        <w:bottom w:val="none" w:sz="0" w:space="0" w:color="auto"/>
        <w:right w:val="none" w:sz="0" w:space="0" w:color="auto"/>
      </w:divBdr>
    </w:div>
    <w:div w:id="1020670282">
      <w:bodyDiv w:val="1"/>
      <w:marLeft w:val="0"/>
      <w:marRight w:val="0"/>
      <w:marTop w:val="0"/>
      <w:marBottom w:val="0"/>
      <w:divBdr>
        <w:top w:val="none" w:sz="0" w:space="0" w:color="auto"/>
        <w:left w:val="none" w:sz="0" w:space="0" w:color="auto"/>
        <w:bottom w:val="none" w:sz="0" w:space="0" w:color="auto"/>
        <w:right w:val="none" w:sz="0" w:space="0" w:color="auto"/>
      </w:divBdr>
    </w:div>
    <w:div w:id="1233154778">
      <w:bodyDiv w:val="1"/>
      <w:marLeft w:val="0"/>
      <w:marRight w:val="0"/>
      <w:marTop w:val="0"/>
      <w:marBottom w:val="0"/>
      <w:divBdr>
        <w:top w:val="none" w:sz="0" w:space="0" w:color="auto"/>
        <w:left w:val="none" w:sz="0" w:space="0" w:color="auto"/>
        <w:bottom w:val="none" w:sz="0" w:space="0" w:color="auto"/>
        <w:right w:val="none" w:sz="0" w:space="0" w:color="auto"/>
      </w:divBdr>
    </w:div>
    <w:div w:id="1245532985">
      <w:bodyDiv w:val="1"/>
      <w:marLeft w:val="0"/>
      <w:marRight w:val="0"/>
      <w:marTop w:val="0"/>
      <w:marBottom w:val="0"/>
      <w:divBdr>
        <w:top w:val="none" w:sz="0" w:space="0" w:color="auto"/>
        <w:left w:val="none" w:sz="0" w:space="0" w:color="auto"/>
        <w:bottom w:val="none" w:sz="0" w:space="0" w:color="auto"/>
        <w:right w:val="none" w:sz="0" w:space="0" w:color="auto"/>
      </w:divBdr>
    </w:div>
    <w:div w:id="1267149879">
      <w:bodyDiv w:val="1"/>
      <w:marLeft w:val="0"/>
      <w:marRight w:val="0"/>
      <w:marTop w:val="0"/>
      <w:marBottom w:val="0"/>
      <w:divBdr>
        <w:top w:val="none" w:sz="0" w:space="0" w:color="auto"/>
        <w:left w:val="none" w:sz="0" w:space="0" w:color="auto"/>
        <w:bottom w:val="none" w:sz="0" w:space="0" w:color="auto"/>
        <w:right w:val="none" w:sz="0" w:space="0" w:color="auto"/>
      </w:divBdr>
    </w:div>
    <w:div w:id="1346862312">
      <w:bodyDiv w:val="1"/>
      <w:marLeft w:val="0"/>
      <w:marRight w:val="0"/>
      <w:marTop w:val="0"/>
      <w:marBottom w:val="0"/>
      <w:divBdr>
        <w:top w:val="none" w:sz="0" w:space="0" w:color="auto"/>
        <w:left w:val="none" w:sz="0" w:space="0" w:color="auto"/>
        <w:bottom w:val="none" w:sz="0" w:space="0" w:color="auto"/>
        <w:right w:val="none" w:sz="0" w:space="0" w:color="auto"/>
      </w:divBdr>
    </w:div>
    <w:div w:id="1649703356">
      <w:bodyDiv w:val="1"/>
      <w:marLeft w:val="0"/>
      <w:marRight w:val="0"/>
      <w:marTop w:val="0"/>
      <w:marBottom w:val="0"/>
      <w:divBdr>
        <w:top w:val="none" w:sz="0" w:space="0" w:color="auto"/>
        <w:left w:val="none" w:sz="0" w:space="0" w:color="auto"/>
        <w:bottom w:val="none" w:sz="0" w:space="0" w:color="auto"/>
        <w:right w:val="none" w:sz="0" w:space="0" w:color="auto"/>
      </w:divBdr>
    </w:div>
    <w:div w:id="1727802708">
      <w:bodyDiv w:val="1"/>
      <w:marLeft w:val="0"/>
      <w:marRight w:val="0"/>
      <w:marTop w:val="0"/>
      <w:marBottom w:val="0"/>
      <w:divBdr>
        <w:top w:val="none" w:sz="0" w:space="0" w:color="auto"/>
        <w:left w:val="none" w:sz="0" w:space="0" w:color="auto"/>
        <w:bottom w:val="none" w:sz="0" w:space="0" w:color="auto"/>
        <w:right w:val="none" w:sz="0" w:space="0" w:color="auto"/>
      </w:divBdr>
    </w:div>
    <w:div w:id="1905020765">
      <w:bodyDiv w:val="1"/>
      <w:marLeft w:val="0"/>
      <w:marRight w:val="0"/>
      <w:marTop w:val="0"/>
      <w:marBottom w:val="0"/>
      <w:divBdr>
        <w:top w:val="none" w:sz="0" w:space="0" w:color="auto"/>
        <w:left w:val="none" w:sz="0" w:space="0" w:color="auto"/>
        <w:bottom w:val="none" w:sz="0" w:space="0" w:color="auto"/>
        <w:right w:val="none" w:sz="0" w:space="0" w:color="auto"/>
      </w:divBdr>
    </w:div>
    <w:div w:id="203156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62ECD-876F-4F8B-8A7C-4F2D9FF10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1378</Words>
  <Characters>7859</Characters>
  <Application>Microsoft Office Word</Application>
  <DocSecurity>0</DocSecurity>
  <Lines>65</Lines>
  <Paragraphs>18</Paragraphs>
  <ScaleCrop>false</ScaleCrop>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C.</dc:creator>
  <cp:keywords/>
  <dc:description/>
  <cp:lastModifiedBy>webuser</cp:lastModifiedBy>
  <cp:revision>3</cp:revision>
  <dcterms:created xsi:type="dcterms:W3CDTF">2024-10-20T06:15:00Z</dcterms:created>
  <dcterms:modified xsi:type="dcterms:W3CDTF">2024-10-20T07:31:00Z</dcterms:modified>
</cp:coreProperties>
</file>